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Aide en faveur des exploitants de remontées mécaniques</w:t>
      </w:r>
    </w:p>
    <w:p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Attestation de cohérence comptable du comptable de l'exploitant portant sur les excédents d'exploitation mentionnés au 2° du A du II de l’article 4 du décret n° 2021-311 du 24 mars 2021 modifié instituant une aide en faveur des exploitants de remontées mécaniques dont l'activité est particulièrement affectée par l'épidémie de covid-19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tant que comptable de l’exploitant de remontées mécaniques identifié ci-après, j’atteste de la cohérence des données suivantes et du calcul des éléments demandés.</w:t>
      </w: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Identification de l’exploitant de remontées mécaniques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  <w:gridCol w:w="5430"/>
      </w:tblGrid>
      <w:t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Nom de l’exploitant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[Indication du nom de la commune, de l'établissement public, de la régie...]"/>
                  </w:textInput>
                </w:ffData>
              </w:fldChar>
            </w:r>
            <w:bookmarkStart w:id="0" w:name="Texte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t>[Indication du nom de la commune, de l'établissement public, de la régie...]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  <w:bookmarkEnd w:id="0"/>
          </w:p>
        </w:tc>
      </w:tr>
      <w:t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Statut juridique de l’exploitant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[Commune, établissement public, régie…]"/>
                  </w:textInput>
                </w:ffData>
              </w:fldChar>
            </w:r>
            <w:bookmarkStart w:id="1" w:name="Texte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t>[Commune, établissement public, régie…]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  <w:bookmarkEnd w:id="1"/>
          </w:p>
        </w:tc>
      </w:tr>
      <w:t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N° SIREN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default w:val="[Numéro unique d’identification à neuf chiffres]"/>
                  </w:textInput>
                </w:ffData>
              </w:fldChar>
            </w:r>
            <w:bookmarkStart w:id="2" w:name="Texte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t>[Numéro unique d’identification à neuf chiffres]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  <w:bookmarkEnd w:id="2"/>
          </w:p>
        </w:tc>
      </w:tr>
      <w:t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Adresse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>
                <w:ffData>
                  <w:name w:val="Texte4"/>
                  <w:enabled/>
                  <w:calcOnExit w:val="0"/>
                  <w:textInput>
                    <w:default w:val="[Adresse du siège de l’entité]"/>
                  </w:textInput>
                </w:ffData>
              </w:fldChar>
            </w:r>
            <w:bookmarkStart w:id="3" w:name="Texte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t>[Adresse du siège de l’entité]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  <w:bookmarkEnd w:id="3"/>
          </w:p>
        </w:tc>
      </w:tr>
    </w:tbl>
    <w:p>
      <w:pP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lang w:eastAsia="fr-FR"/>
        </w:rPr>
      </w:pPr>
    </w:p>
    <w:p>
      <w:pPr>
        <w:spacing w:after="0" w:line="240" w:lineRule="auto"/>
        <w:rPr>
          <w:rFonts w:ascii="Times New Roman" w:eastAsia="Arial Unicode MS" w:hAnsi="Times New Roman" w:cs="Times New Roman"/>
          <w:color w:val="000000"/>
          <w:u w:color="000000"/>
          <w:lang w:eastAsia="fr-FR"/>
        </w:rPr>
      </w:pPr>
    </w:p>
    <w:p>
      <w:pPr>
        <w:autoSpaceDE w:val="0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DejaVuSans" w:hAnsi="Times New Roman" w:cs="Times New Roman"/>
          <w:b/>
          <w:bCs/>
          <w:color w:val="000000"/>
          <w:sz w:val="24"/>
          <w:szCs w:val="24"/>
          <w:lang w:eastAsia="fr-FR"/>
        </w:rPr>
        <w:t>Récapitulatif des informations comptables :</w:t>
      </w:r>
    </w:p>
    <w:p>
      <w:pPr>
        <w:autoSpaceDE w:val="0"/>
        <w:spacing w:after="0" w:line="240" w:lineRule="auto"/>
        <w:ind w:right="340"/>
        <w:jc w:val="both"/>
        <w:rPr>
          <w:rFonts w:ascii="Times New Roman" w:eastAsia="DejaVuSans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9356" w:type="dxa"/>
        <w:tblInd w:w="-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15"/>
        <w:gridCol w:w="3441"/>
      </w:tblGrid>
      <w:tr>
        <w:tc>
          <w:tcPr>
            <w:tcW w:w="5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hideMark/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Informations</w:t>
            </w: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hideMark/>
          </w:tcPr>
          <w:p>
            <w:pPr>
              <w:autoSpaceDE w:val="0"/>
              <w:spacing w:before="6" w:after="6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Montants</w:t>
            </w:r>
          </w:p>
          <w:p>
            <w:pPr>
              <w:autoSpaceDE w:val="0"/>
              <w:spacing w:before="6" w:after="6" w:line="240" w:lineRule="auto"/>
              <w:ind w:righ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(en euros)</w:t>
            </w:r>
          </w:p>
        </w:tc>
      </w:tr>
      <w:t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>
            <w:pPr>
              <w:autoSpaceDE w:val="0"/>
              <w:spacing w:before="6" w:after="6" w:line="24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calculé sur la période de référence</w:t>
            </w:r>
          </w:p>
        </w:tc>
        <w:tc>
          <w:tcPr>
            <w:tcW w:w="34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e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>
        <w:tc>
          <w:tcPr>
            <w:tcW w:w="59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>
            <w:pPr>
              <w:autoSpaceDE w:val="0"/>
              <w:spacing w:before="6" w:after="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calculé sur la base de l’exécution définitive des comptes pour l’année 2021</w:t>
            </w:r>
          </w:p>
        </w:tc>
        <w:tc>
          <w:tcPr>
            <w:tcW w:w="34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e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</w:tbl>
    <w:p>
      <w:pPr>
        <w:autoSpaceDE w:val="0"/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Excédents d’exploitation calculés selon les formules prévues à l’article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 l’arrêté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du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26 juin 2023 pris pour l'application de l'article 4 du décret n° 2021-311 du 24 mars 2021 instituant une aide en faveur des exploitants de remontées mécaniques dont l'activité est particulièrement affectée par l'épidémie de covid-19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>
      <w:pPr>
        <w:autoSpaceDE w:val="0"/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>
      <w:pPr>
        <w:autoSpaceDE w:val="0"/>
        <w:spacing w:before="6" w:after="6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autoSpaceDE w:val="0"/>
        <w:spacing w:before="6" w:after="6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autoSpaceDE w:val="0"/>
        <w:spacing w:before="6" w:after="6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autoSpaceDE w:val="0"/>
        <w:spacing w:before="6" w:after="6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autoSpaceDE w:val="0"/>
        <w:spacing w:before="6" w:after="6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>
      <w:pPr>
        <w:autoSpaceDE w:val="0"/>
        <w:spacing w:before="6" w:after="6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autoSpaceDE w:val="0"/>
        <w:spacing w:before="6" w:after="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Variation d’EE –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Montant à reverser à l’administration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:</w:t>
      </w:r>
    </w:p>
    <w:p>
      <w:pPr>
        <w:autoSpaceDE w:val="0"/>
        <w:spacing w:before="6" w:after="6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949"/>
        <w:gridCol w:w="3402"/>
      </w:tblGrid>
      <w:tr>
        <w:tc>
          <w:tcPr>
            <w:tcW w:w="5949" w:type="dxa"/>
            <w:shd w:val="clear" w:color="auto" w:fill="D9D9D9" w:themeFill="background1" w:themeFillShade="D9"/>
          </w:tcPr>
          <w:p>
            <w:pPr>
              <w:autoSpaceDE w:val="0"/>
              <w:spacing w:before="6" w:after="6"/>
              <w:jc w:val="both"/>
            </w:pPr>
            <w:r>
              <w:rPr>
                <w:b/>
                <w:bCs/>
                <w:sz w:val="24"/>
                <w:szCs w:val="24"/>
              </w:rPr>
              <w:t>Millésime de la période de référence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02" w:type="dxa"/>
          </w:tcPr>
          <w:p>
            <w:pPr>
              <w:autoSpaceDE w:val="0"/>
              <w:spacing w:before="6" w:after="6"/>
              <w:jc w:val="both"/>
            </w:pPr>
            <w:r>
              <w:rPr>
                <w:sz w:val="24"/>
                <w:szCs w:val="24"/>
              </w:rPr>
              <w:t xml:space="preserve">Année </w:t>
            </w:r>
            <w:r>
              <w:rPr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>
        <w:tc>
          <w:tcPr>
            <w:tcW w:w="5949" w:type="dxa"/>
            <w:shd w:val="clear" w:color="auto" w:fill="D9D9D9" w:themeFill="background1" w:themeFillShade="D9"/>
          </w:tcPr>
          <w:p>
            <w:pPr>
              <w:autoSpaceDE w:val="0"/>
              <w:spacing w:before="6" w:after="6"/>
              <w:jc w:val="both"/>
            </w:pPr>
            <w:r>
              <w:rPr>
                <w:b/>
                <w:bCs/>
                <w:sz w:val="24"/>
                <w:szCs w:val="24"/>
              </w:rPr>
              <w:t>Taux d’évolution du PIB</w:t>
            </w:r>
            <w:r>
              <w:rPr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(en %)</w:t>
            </w:r>
          </w:p>
        </w:tc>
        <w:tc>
          <w:tcPr>
            <w:tcW w:w="3402" w:type="dxa"/>
          </w:tcPr>
          <w:p>
            <w:pPr>
              <w:autoSpaceDE w:val="0"/>
              <w:spacing w:before="6" w:after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e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  <w:r>
              <w:rPr>
                <w:sz w:val="24"/>
                <w:szCs w:val="24"/>
              </w:rPr>
              <w:t xml:space="preserve"> %</w:t>
            </w:r>
          </w:p>
        </w:tc>
      </w:tr>
      <w:tr>
        <w:tc>
          <w:tcPr>
            <w:tcW w:w="594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spacing w:before="6" w:after="6"/>
              <w:jc w:val="both"/>
            </w:pPr>
            <w:r>
              <w:rPr>
                <w:b/>
                <w:bCs/>
                <w:sz w:val="24"/>
                <w:szCs w:val="24"/>
              </w:rPr>
              <w:t>Coefficient à appliquer à l’EE du millésime de référence</w:t>
            </w:r>
            <w:r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>
            <w:pPr>
              <w:autoSpaceDE w:val="0"/>
              <w:spacing w:before="6" w:after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e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>
        <w:tc>
          <w:tcPr>
            <w:tcW w:w="5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spacing w:before="6" w:after="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 corrigé de l’évolution du PIB</w:t>
            </w:r>
            <w:r>
              <w:rPr>
                <w:b/>
                <w:sz w:val="24"/>
                <w:szCs w:val="24"/>
                <w:vertAlign w:val="superscript"/>
              </w:rPr>
              <w:t xml:space="preserve">4 </w:t>
            </w:r>
            <w:r>
              <w:rPr>
                <w:b/>
                <w:sz w:val="24"/>
                <w:szCs w:val="24"/>
              </w:rPr>
              <w:t>(en euros)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>
            <w:pPr>
              <w:autoSpaceDE w:val="0"/>
              <w:spacing w:before="6" w:after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e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  <w:r>
              <w:rPr>
                <w:sz w:val="24"/>
                <w:szCs w:val="24"/>
              </w:rPr>
              <w:t xml:space="preserve"> €</w:t>
            </w:r>
          </w:p>
        </w:tc>
      </w:tr>
      <w:tr>
        <w:tc>
          <w:tcPr>
            <w:tcW w:w="59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>
            <w:pPr>
              <w:autoSpaceDE w:val="0"/>
              <w:spacing w:before="6" w:after="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VARIATION D’EBE</w:t>
            </w:r>
            <w:r>
              <w:rPr>
                <w:b/>
                <w:sz w:val="24"/>
                <w:szCs w:val="24"/>
                <w:vertAlign w:val="superscript"/>
              </w:rPr>
              <w:t xml:space="preserve">5 </w:t>
            </w:r>
            <w:r>
              <w:rPr>
                <w:b/>
                <w:sz w:val="24"/>
                <w:szCs w:val="24"/>
              </w:rPr>
              <w:t>(en euros)</w:t>
            </w:r>
          </w:p>
          <w:p>
            <w:pPr>
              <w:autoSpaceDE w:val="0"/>
              <w:spacing w:before="6" w:after="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Il s’agit du montant à reverser à l’administration 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>
            <w:pPr>
              <w:autoSpaceDE w:val="0"/>
              <w:spacing w:before="6" w:after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Texte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  <w:r>
              <w:rPr>
                <w:sz w:val="24"/>
                <w:szCs w:val="24"/>
              </w:rPr>
              <w:t xml:space="preserve"> €</w:t>
            </w:r>
          </w:p>
        </w:tc>
      </w:tr>
    </w:tbl>
    <w:p>
      <w:pPr>
        <w:autoSpaceDE w:val="0"/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Préciser l’année.</w:t>
      </w:r>
    </w:p>
    <w:p>
      <w:pPr>
        <w:autoSpaceDE w:val="0"/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Entre l’année de la période de référence et 2020.</w:t>
      </w:r>
      <w:r>
        <w:rPr>
          <w:i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Taux d’évolution du PIB = (PIB en volume en 2020 – PIB en volume de l’année de référence) / PIB en volume de l’année de référence.</w:t>
      </w:r>
    </w:p>
    <w:p>
      <w:pPr>
        <w:autoSpaceDE w:val="0"/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Coefficient à appliquer = 1 + taux d’évolution du PIB entre l’année clôturant la période de référence et l’année 2020.</w:t>
      </w:r>
    </w:p>
    <w:p>
      <w:pPr>
        <w:autoSpaceDE w:val="0"/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EE corrigé de l’évolution du PIB = EE de la période de référence </w:t>
      </w:r>
      <w:r>
        <w:rPr>
          <w:rFonts w:ascii="Times New Roman" w:eastAsia="Times New Roman" w:hAnsi="Times New Roman" w:cs="Times New Roman"/>
          <w:i/>
          <w:smallCaps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coefficient à appliquer.</w:t>
      </w:r>
    </w:p>
    <w:p>
      <w:pPr>
        <w:autoSpaceDE w:val="0"/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Variation d’EBE = 0,95 x (EE calculé à l’appui des comptes 2021 – EE corrigé de l’évolution du PIB).</w:t>
      </w:r>
    </w:p>
    <w:p>
      <w:pPr>
        <w:autoSpaceDE w:val="0"/>
        <w:spacing w:before="6" w:after="6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>
      <w:pPr>
        <w:autoSpaceDE w:val="0"/>
        <w:spacing w:before="6" w:after="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Pour le cas où l’EE de la période de référence serait calculé avec des données issues de la comptabilité d’un exploitant à comptabilité publique distinct de l’exploitant ayant bénéficié de l’aide au titre du décret n° 2021-311 du 24 mars 2021, préciser l’identification de l’ancien exploitant :</w:t>
      </w:r>
    </w:p>
    <w:p>
      <w:pPr>
        <w:autoSpaceDE w:val="0"/>
        <w:spacing w:before="6" w:after="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1"/>
        <w:gridCol w:w="5431"/>
      </w:tblGrid>
      <w:t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Nom de l’exploitant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[Indication [des nom et prénom de l’exploitant personne physique, de la dénomination sociale de la société [ou] du titre de l’association] du nom de la commune, de l'établissement public, de la régie…]"/>
                  </w:textInput>
                </w:ffData>
              </w:fldChar>
            </w:r>
            <w:bookmarkStart w:id="10" w:name="Texte1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t>[Indication [des nom et prénom de l’exploitant personne physique, de la dénomination sociale de la société [ou] du titre de l’association] du nom de la commune, de l'établissement public, de la régie…]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  <w:bookmarkEnd w:id="10"/>
          </w:p>
        </w:tc>
      </w:tr>
      <w:t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Statut juridique de l’exploitant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>
                    <w:default w:val="[[Société (préciser la nature), association régie par la loi du 1er juillet 1901,] commune, établissement public, régie...]"/>
                  </w:textInput>
                </w:ffData>
              </w:fldChar>
            </w:r>
            <w:bookmarkStart w:id="11" w:name="Texte1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t>[[Société (préciser la nature), association régie par la loi du 1er juillet 1901,] commune, établissement public, régie...]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  <w:bookmarkEnd w:id="11"/>
          </w:p>
        </w:tc>
      </w:tr>
      <w:t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N° SIREN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default w:val="[Numéro unique d’identification à neuf chiffres]"/>
                  </w:textInput>
                </w:ffData>
              </w:fldChar>
            </w:r>
            <w:bookmarkStart w:id="12" w:name="Texte16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t>[Numéro unique d’identification à neuf chiffres]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  <w:bookmarkEnd w:id="12"/>
          </w:p>
        </w:tc>
      </w:tr>
      <w:t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Adresse 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begin">
                <w:ffData>
                  <w:name w:val="Texte17"/>
                  <w:enabled/>
                  <w:calcOnExit w:val="0"/>
                  <w:textInput>
                    <w:default w:val="[Adresse du siège de l’entreprise ou de l’entité]"/>
                  </w:textInput>
                </w:ffData>
              </w:fldChar>
            </w:r>
            <w:bookmarkStart w:id="13" w:name="Texte1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t>[Adresse du siège de l’entreprise ou de l’entité]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ldChar w:fldCharType="end"/>
            </w:r>
            <w:bookmarkEnd w:id="13"/>
          </w:p>
        </w:tc>
      </w:tr>
      <w:t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Si cet exploitant a cessé son activité, préciser la date de cessation d’activité 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9841777"/>
            <w:placeholder>
              <w:docPart w:val="DefaultPlaceholder_108186857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56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>
                <w:pPr>
                  <w:spacing w:after="12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</w:tbl>
    <w:p>
      <w:pPr>
        <w:autoSpaceDE w:val="0"/>
        <w:spacing w:before="6" w:after="6" w:line="240" w:lineRule="auto"/>
        <w:jc w:val="both"/>
        <w:rPr>
          <w:rFonts w:ascii="Times New Roman" w:eastAsia="DejaVuSans" w:hAnsi="Times New Roman" w:cs="Times New Roman"/>
          <w:color w:val="000000"/>
          <w:sz w:val="24"/>
          <w:szCs w:val="24"/>
          <w:lang w:eastAsia="fr-FR"/>
        </w:rPr>
      </w:pPr>
    </w:p>
    <w:p>
      <w:pPr>
        <w:autoSpaceDE w:val="0"/>
        <w:spacing w:before="6" w:after="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DejaVuSans" w:hAnsi="Times New Roman" w:cs="Times New Roman"/>
          <w:color w:val="000000"/>
          <w:sz w:val="24"/>
          <w:szCs w:val="24"/>
          <w:lang w:eastAsia="fr-FR"/>
        </w:rPr>
        <w:t>Est jointe à la présente attestation la fiche de calcul des EE pour les deux millésimes.</w:t>
      </w:r>
    </w:p>
    <w:p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 à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4" w:name="Texte18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bookmarkEnd w:id="14"/>
    </w:p>
    <w:p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id w:val="-409384399"/>
          <w:placeholder>
            <w:docPart w:val="DefaultPlaceholder_108186857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>
            <w:rPr>
              <w:rStyle w:val="Textedelespacerserv"/>
            </w:rPr>
            <w:t>Cliquez ici pour entrer une date.</w:t>
          </w:r>
        </w:sdtContent>
      </w:sdt>
    </w:p>
    <w:p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Nom, prénom et fonction du comptable public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5" w:name="Texte19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FORMTEXT </w:instrTex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bookmarkEnd w:id="15"/>
    </w:p>
    <w:p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Cachet et signature du comptable public</w:t>
      </w:r>
    </w:p>
    <w:sectPr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408917"/>
      <w:docPartObj>
        <w:docPartGallery w:val="Page Numbers (Bottom of Page)"/>
        <w:docPartUnique/>
      </w:docPartObj>
    </w:sdtPr>
    <w:sdtContent>
      <w:p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</w:p>
  <w:p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4526915</wp:posOffset>
          </wp:positionH>
          <wp:positionV relativeFrom="paragraph">
            <wp:posOffset>-153035</wp:posOffset>
          </wp:positionV>
          <wp:extent cx="1567180" cy="848995"/>
          <wp:effectExtent l="0" t="0" r="0" b="8255"/>
          <wp:wrapThrough wrapText="bothSides">
            <wp:wrapPolygon edited="0">
              <wp:start x="0" y="0"/>
              <wp:lineTo x="0" y="21325"/>
              <wp:lineTo x="21267" y="21325"/>
              <wp:lineTo x="21267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18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2980690" cy="8953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69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41B90"/>
    <w:multiLevelType w:val="multilevel"/>
    <w:tmpl w:val="1056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071CDE"/>
    <w:multiLevelType w:val="hybridMultilevel"/>
    <w:tmpl w:val="7062C68A"/>
    <w:lvl w:ilvl="0" w:tplc="DFEC2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34702"/>
    <w:multiLevelType w:val="hybridMultilevel"/>
    <w:tmpl w:val="168E8AC2"/>
    <w:lvl w:ilvl="0" w:tplc="C83C4D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D481CB2"/>
    <w:multiLevelType w:val="hybridMultilevel"/>
    <w:tmpl w:val="864CA280"/>
    <w:lvl w:ilvl="0" w:tplc="D3367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7364F"/>
    <w:multiLevelType w:val="hybridMultilevel"/>
    <w:tmpl w:val="7D9AEE82"/>
    <w:lvl w:ilvl="0" w:tplc="23722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116BEC"/>
    <w:multiLevelType w:val="multilevel"/>
    <w:tmpl w:val="FCBE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B63AEF"/>
    <w:multiLevelType w:val="hybridMultilevel"/>
    <w:tmpl w:val="B6EC2F76"/>
    <w:lvl w:ilvl="0" w:tplc="29F6080A">
      <w:start w:val="1"/>
      <w:numFmt w:val="upp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8E6A42"/>
    <w:multiLevelType w:val="hybridMultilevel"/>
    <w:tmpl w:val="A0F8BFE4"/>
    <w:lvl w:ilvl="0" w:tplc="B572712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232D9"/>
    <w:multiLevelType w:val="hybridMultilevel"/>
    <w:tmpl w:val="6F465D48"/>
    <w:lvl w:ilvl="0" w:tplc="59F46F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23C22"/>
    <w:multiLevelType w:val="hybridMultilevel"/>
    <w:tmpl w:val="6E22A07E"/>
    <w:lvl w:ilvl="0" w:tplc="9E1C2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347A1"/>
    <w:multiLevelType w:val="hybridMultilevel"/>
    <w:tmpl w:val="379A8DB8"/>
    <w:lvl w:ilvl="0" w:tplc="425AE8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C7E81"/>
    <w:multiLevelType w:val="hybridMultilevel"/>
    <w:tmpl w:val="C2269FB6"/>
    <w:lvl w:ilvl="0" w:tplc="085619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B33EC4"/>
    <w:multiLevelType w:val="hybridMultilevel"/>
    <w:tmpl w:val="6BFC0B8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16684"/>
    <w:multiLevelType w:val="hybridMultilevel"/>
    <w:tmpl w:val="12D0305A"/>
    <w:lvl w:ilvl="0" w:tplc="1FDA5F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272CF"/>
    <w:multiLevelType w:val="hybridMultilevel"/>
    <w:tmpl w:val="5FBC2444"/>
    <w:lvl w:ilvl="0" w:tplc="F8E40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31280"/>
    <w:multiLevelType w:val="hybridMultilevel"/>
    <w:tmpl w:val="C35057DA"/>
    <w:lvl w:ilvl="0" w:tplc="7C0EA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82BF0"/>
    <w:multiLevelType w:val="hybridMultilevel"/>
    <w:tmpl w:val="710C729C"/>
    <w:lvl w:ilvl="0" w:tplc="D1D465E6">
      <w:start w:val="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1"/>
  </w:num>
  <w:num w:numId="16">
    <w:abstractNumId w:val="18"/>
  </w:num>
  <w:num w:numId="17">
    <w:abstractNumId w:val="30"/>
  </w:num>
  <w:num w:numId="18">
    <w:abstractNumId w:val="29"/>
  </w:num>
  <w:num w:numId="19">
    <w:abstractNumId w:val="14"/>
  </w:num>
  <w:num w:numId="20">
    <w:abstractNumId w:val="19"/>
  </w:num>
  <w:num w:numId="21">
    <w:abstractNumId w:val="28"/>
  </w:num>
  <w:num w:numId="22">
    <w:abstractNumId w:val="23"/>
  </w:num>
  <w:num w:numId="23">
    <w:abstractNumId w:val="26"/>
  </w:num>
  <w:num w:numId="24">
    <w:abstractNumId w:val="16"/>
  </w:num>
  <w:num w:numId="25">
    <w:abstractNumId w:val="12"/>
  </w:num>
  <w:num w:numId="26">
    <w:abstractNumId w:val="24"/>
  </w:num>
  <w:num w:numId="27">
    <w:abstractNumId w:val="27"/>
  </w:num>
  <w:num w:numId="28">
    <w:abstractNumId w:val="13"/>
  </w:num>
  <w:num w:numId="29">
    <w:abstractNumId w:val="22"/>
  </w:num>
  <w:num w:numId="30">
    <w:abstractNumId w:val="1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3E7114-E7BB-44EE-A015-C73205E1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autoRedefine/>
    <w:qFormat/>
    <w:pPr>
      <w:keepNext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Cs/>
      <w:iCs/>
      <w:smallCap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pPr>
      <w:keepNext/>
      <w:spacing w:before="120" w:after="0" w:line="240" w:lineRule="auto"/>
      <w:jc w:val="center"/>
      <w:outlineLvl w:val="2"/>
    </w:pPr>
    <w:rPr>
      <w:rFonts w:ascii="Times New Roman" w:eastAsia="Times New Roman" w:hAnsi="Times New Roman" w:cs="Arial"/>
      <w:bCs/>
      <w:sz w:val="24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Pr>
      <w:rFonts w:ascii="Times New Roman" w:eastAsia="Times New Roman" w:hAnsi="Times New Roman" w:cs="Arial"/>
      <w:bCs/>
      <w:caps/>
      <w:kern w:val="32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Pr>
      <w:rFonts w:ascii="Times New Roman" w:eastAsia="Times New Roman" w:hAnsi="Times New Roman" w:cs="Times New Roman"/>
      <w:bCs/>
      <w:iCs/>
      <w:smallCap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Pr>
      <w:rFonts w:ascii="Times New Roman" w:eastAsia="Times New Roman" w:hAnsi="Times New Roman" w:cs="Arial"/>
      <w:bCs/>
      <w:sz w:val="24"/>
      <w:szCs w:val="26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</w:style>
  <w:style w:type="paragraph" w:customStyle="1" w:styleId="SNREPUBLIQUE">
    <w:name w:val="SNREPUBLIQUE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 w:after="0" w:line="240" w:lineRule="auto"/>
      <w:ind w:left="1429" w:hanging="360"/>
    </w:pPr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 w:after="0" w:line="240" w:lineRule="auto"/>
      <w:ind w:left="2149" w:hanging="360"/>
    </w:pPr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 w:after="0" w:line="240" w:lineRule="auto"/>
      <w:ind w:left="2869" w:hanging="360"/>
    </w:pPr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 w:after="0" w:line="240" w:lineRule="auto"/>
      <w:ind w:left="1429" w:hanging="360"/>
    </w:pPr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 w:after="0" w:line="240" w:lineRule="auto"/>
      <w:ind w:left="2149" w:hanging="360"/>
    </w:pPr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 w:after="0" w:line="240" w:lineRule="auto"/>
      <w:ind w:left="2869" w:hanging="180"/>
    </w:pPr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SNNature">
    <w:name w:val="SNNature"/>
    <w:basedOn w:val="Normal"/>
    <w:next w:val="SNtitre"/>
    <w:autoRedefine/>
    <w:pPr>
      <w:widowControl w:val="0"/>
      <w:suppressLineNumbers/>
      <w:suppressAutoHyphens/>
      <w:spacing w:before="720" w:after="120" w:line="240" w:lineRule="auto"/>
      <w:jc w:val="center"/>
    </w:pPr>
    <w:rPr>
      <w:rFonts w:ascii="Times New Roman" w:eastAsia="Lucida Sans Unicode" w:hAnsi="Times New Roman" w:cs="Times New Roman"/>
      <w:b/>
      <w:bCs/>
      <w:sz w:val="24"/>
      <w:szCs w:val="24"/>
      <w:lang w:eastAsia="fr-FR"/>
    </w:rPr>
  </w:style>
  <w:style w:type="paragraph" w:customStyle="1" w:styleId="SNtitre">
    <w:name w:val="SNtitre"/>
    <w:basedOn w:val="Normal"/>
    <w:next w:val="SNNORCentr"/>
    <w:autoRedefine/>
    <w:pPr>
      <w:widowControl w:val="0"/>
      <w:suppressLineNumbers/>
      <w:suppressAutoHyphens/>
      <w:spacing w:after="360" w:line="240" w:lineRule="auto"/>
      <w:jc w:val="center"/>
    </w:pPr>
    <w:rPr>
      <w:rFonts w:ascii="Times New Roman" w:eastAsia="Lucida Sans Unicode" w:hAnsi="Times New Roman" w:cs="Times New Roman"/>
      <w:b/>
      <w:sz w:val="24"/>
      <w:szCs w:val="24"/>
      <w:lang w:eastAsia="fr-FR"/>
    </w:rPr>
  </w:style>
  <w:style w:type="paragraph" w:customStyle="1" w:styleId="SNNORCentr">
    <w:name w:val="SNNOR+Centré"/>
    <w:next w:val="SNAutorit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fr-FR"/>
    </w:rPr>
  </w:style>
  <w:style w:type="paragraph" w:customStyle="1" w:styleId="SNAutorit">
    <w:name w:val="SNAutorité"/>
    <w:basedOn w:val="Normal"/>
    <w:autoRedefine/>
    <w:pPr>
      <w:spacing w:before="720" w:after="12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customStyle="1" w:styleId="SNSignatureprnomnomDroite">
    <w:name w:val="SNSignature prénom+nom Droite"/>
    <w:basedOn w:val="SNSignatureDroite"/>
    <w:next w:val="SNSignatureGauche"/>
    <w:pPr>
      <w:spacing w:after="120"/>
      <w:ind w:left="5041"/>
    </w:pPr>
  </w:style>
  <w:style w:type="paragraph" w:customStyle="1" w:styleId="SNSignatureDroite">
    <w:name w:val="SNSignatureDroite"/>
    <w:basedOn w:val="Normal"/>
    <w:next w:val="SNSignatureprnomnomDroite"/>
    <w:autoRedefine/>
    <w:pPr>
      <w:spacing w:before="120" w:after="1680" w:line="240" w:lineRule="auto"/>
      <w:ind w:left="504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SNSignatureGauche">
    <w:name w:val="SNSignatureGauche"/>
    <w:basedOn w:val="Normal"/>
    <w:next w:val="SNSignatureprnomnomGauche"/>
    <w:autoRedefine/>
    <w:pPr>
      <w:spacing w:before="120" w:after="1680" w:line="240" w:lineRule="auto"/>
      <w:ind w:left="720" w:right="449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SignatureprnomnomGauche">
    <w:name w:val="SNSignature prénom+nom Gauche"/>
    <w:basedOn w:val="SNSignatureGauche"/>
    <w:next w:val="SNSignatureDroite"/>
    <w:pPr>
      <w:spacing w:after="120"/>
    </w:pPr>
    <w:rPr>
      <w:color w:val="000000"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fr-FR"/>
    </w:rPr>
  </w:style>
  <w:style w:type="character" w:customStyle="1" w:styleId="SNTimbreCar">
    <w:name w:val="SNTimbre Car"/>
    <w:link w:val="SNTimbre"/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SNRapport">
    <w:name w:val="SNRapport"/>
    <w:basedOn w:val="Normal"/>
    <w:autoRedefine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paragraph" w:customStyle="1" w:styleId="SNVisa">
    <w:name w:val="SNVisa"/>
    <w:basedOn w:val="Normal"/>
    <w:autoRedefine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Date">
    <w:name w:val="SNDate"/>
    <w:basedOn w:val="Normal"/>
    <w:next w:val="SNContreseing"/>
    <w:link w:val="SNDateCar"/>
    <w:autoRedefine/>
    <w:pPr>
      <w:spacing w:before="480" w:after="276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Contreseing">
    <w:name w:val="SNContreseing"/>
    <w:basedOn w:val="Normal"/>
    <w:next w:val="SNSignatureGauche"/>
    <w:autoRedefine/>
    <w:pPr>
      <w:spacing w:before="480"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NDateCar">
    <w:name w:val="SNDate Car"/>
    <w:link w:val="SNDat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Acte">
    <w:name w:val="SNActe"/>
    <w:basedOn w:val="Normal"/>
    <w:autoRedefine/>
    <w:pPr>
      <w:keepNext/>
      <w:spacing w:before="48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NArticleCar">
    <w:name w:val="SNArticle Car"/>
    <w:link w:val="SNArticl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Considrant">
    <w:name w:val="SNConsidérant"/>
    <w:basedOn w:val="Normal"/>
    <w:autoRedefine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customStyle="1" w:styleId="SNListePrincipale">
    <w:name w:val="SNListePrincipale"/>
    <w:basedOn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Intitul">
    <w:name w:val="SNIntitulé"/>
    <w:basedOn w:val="Normal"/>
    <w:autoRedefine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Adoption">
    <w:name w:val="SNAdoption"/>
    <w:basedOn w:val="Normal"/>
    <w:autoRedefine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Libell">
    <w:name w:val="SNLibellé"/>
    <w:basedOn w:val="Normal"/>
    <w:autoRedefine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NenProjet">
    <w:name w:val="SNenProjet"/>
    <w:basedOn w:val="Policepardfaut"/>
  </w:style>
  <w:style w:type="paragraph" w:styleId="Textedebulles">
    <w:name w:val="Balloon Text"/>
    <w:basedOn w:val="Normal"/>
    <w:link w:val="TextedebullesCar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1objet">
    <w:name w:val="Titre 1 objet"/>
    <w:basedOn w:val="Titre1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pPr>
      <w:spacing w:before="0" w:after="120"/>
    </w:pPr>
    <w:rPr>
      <w:b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Signature">
    <w:name w:val="SNSignature"/>
    <w:basedOn w:val="Normal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ection-pjl">
    <w:name w:val="section-pjl"/>
    <w:basedOn w:val="Normal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Marquedecommentaire">
    <w:name w:val="annotation reference"/>
    <w:uiPriority w:val="99"/>
    <w:rPr>
      <w:sz w:val="16"/>
      <w:szCs w:val="16"/>
    </w:rPr>
  </w:style>
  <w:style w:type="paragraph" w:styleId="Commentaire">
    <w:name w:val="annotation text"/>
    <w:basedOn w:val="Normal"/>
    <w:link w:val="CommentaireC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surlignage">
    <w:name w:val="surlignage"/>
  </w:style>
  <w:style w:type="character" w:styleId="lev">
    <w:name w:val="Strong"/>
    <w:uiPriority w:val="22"/>
    <w:qFormat/>
    <w:rPr>
      <w:b/>
      <w:bCs/>
    </w:rPr>
  </w:style>
  <w:style w:type="paragraph" w:styleId="Paragraphedeliste">
    <w:name w:val="List Paragraph"/>
    <w:aliases w:val="Paragraphe EI,EC,Paragraphe de liste2,Colorful List Accent 1,List Paragraph (numbered (a)),Lapis Bulleted List,Dot pt,F5 List Paragraph,No Spacing1,List Paragraph Char Char Char,Indicator Text,Numbered Para 1,Bullet 1,List_Paragraph"/>
    <w:basedOn w:val="Normal"/>
    <w:link w:val="ParagraphedelisteCar"/>
    <w:uiPriority w:val="34"/>
    <w:qFormat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ParagraphedelisteCar">
    <w:name w:val="Paragraphe de liste Car"/>
    <w:aliases w:val="Paragraphe EI Car,EC Car,Paragraphe de liste2 Car,Colorful List Accent 1 Car,List Paragraph (numbered (a)) Car,Lapis Bulleted List Car,Dot pt Car,F5 List Paragraph Car,No Spacing1 Car,List Paragraph Char Char Char Car"/>
    <w:link w:val="Paragraphedeliste"/>
    <w:uiPriority w:val="34"/>
    <w:locked/>
    <w:rPr>
      <w:rFonts w:ascii="Calibri" w:eastAsia="Calibri" w:hAnsi="Calibri" w:cs="Times New Roman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rPr>
      <w:color w:val="0563C1" w:themeColor="hyperlink"/>
      <w:u w:val="single"/>
    </w:rPr>
  </w:style>
  <w:style w:type="paragraph" w:customStyle="1" w:styleId="SNDatearrt">
    <w:name w:val="SNDate arrêté"/>
    <w:basedOn w:val="Normal"/>
    <w:next w:val="Normal"/>
    <w:link w:val="SNDatearrtCar"/>
    <w:autoRedefine/>
    <w:pPr>
      <w:spacing w:before="480" w:after="48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NDatearrtCar">
    <w:name w:val="SNDate arrêté Car"/>
    <w:basedOn w:val="Policepardfaut"/>
    <w:link w:val="SNDatearrt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SignatureGauche0">
    <w:name w:val="SNSignature Gauche"/>
    <w:basedOn w:val="Normal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SignatureDroite0">
    <w:name w:val="SNSignature Droite"/>
    <w:basedOn w:val="Normal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enudetableau">
    <w:name w:val="Contenu de tableau"/>
    <w:basedOn w:val="Normal"/>
    <w:qFormat/>
    <w:pPr>
      <w:suppressLineNumbers/>
      <w:suppressAutoHyphens/>
      <w:spacing w:after="0" w:line="240" w:lineRule="auto"/>
    </w:pPr>
    <w:rPr>
      <w:rFonts w:ascii="Marianne" w:eastAsia="Times New Roman" w:hAnsi="Marianne" w:cs="Arial"/>
    </w:rPr>
  </w:style>
  <w:style w:type="character" w:customStyle="1" w:styleId="CommentaireCar1">
    <w:name w:val="Commentaire Car1"/>
    <w:basedOn w:val="Policepardfaut"/>
    <w:semiHidden/>
    <w:locked/>
    <w:rPr>
      <w:rFonts w:ascii="Calibri" w:hAnsi="Calibri"/>
    </w:rPr>
  </w:style>
  <w:style w:type="character" w:styleId="Lienhypertextesuivivisit">
    <w:name w:val="FollowedHyperlink"/>
    <w:basedOn w:val="Policepardfaut"/>
    <w:rPr>
      <w:color w:val="954F72" w:themeColor="followedHyperlink"/>
      <w:u w:val="single"/>
    </w:rPr>
  </w:style>
  <w:style w:type="paragraph" w:customStyle="1" w:styleId="BodyA">
    <w:name w:val="Body A"/>
    <w:pP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lang w:eastAsia="fr-FR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4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91D3B2-E415-49F4-A45B-780214C4FB63}"/>
      </w:docPartPr>
      <w:docPartBody>
        <w:p>
          <w:r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FA39524-1EFA-4F57-99A7-2B79BADE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 - SDT  - CdM</dc:creator>
  <cp:keywords/>
  <dc:description/>
  <cp:lastModifiedBy>CdP juridique</cp:lastModifiedBy>
  <cp:revision>7</cp:revision>
  <cp:lastPrinted>2023-04-03T09:06:00Z</cp:lastPrinted>
  <dcterms:created xsi:type="dcterms:W3CDTF">2023-01-13T15:26:00Z</dcterms:created>
  <dcterms:modified xsi:type="dcterms:W3CDTF">2023-06-27T07:56:00Z</dcterms:modified>
</cp:coreProperties>
</file>