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6F" w:rsidRDefault="00542B6F">
      <w:pPr>
        <w:jc w:val="right"/>
        <w:rPr>
          <w:rFonts w:ascii="Calibri" w:eastAsia="Times New Roman" w:hAnsi="Calibri" w:cs="Marianne"/>
          <w:b/>
          <w:color w:val="000000"/>
          <w:sz w:val="16"/>
          <w:szCs w:val="16"/>
        </w:rPr>
      </w:pPr>
      <w:bookmarkStart w:id="0" w:name="_GoBack"/>
      <w:bookmarkEnd w:id="0"/>
    </w:p>
    <w:p w:rsidR="00542B6F" w:rsidRDefault="00542B6F">
      <w:pPr>
        <w:jc w:val="center"/>
        <w:rPr>
          <w:rFonts w:ascii="Calibri" w:eastAsia="Times New Roman" w:hAnsi="Calibri" w:cs="Marianne"/>
          <w:b/>
          <w:color w:val="000000"/>
          <w:sz w:val="16"/>
          <w:szCs w:val="16"/>
        </w:rPr>
      </w:pPr>
    </w:p>
    <w:p w:rsidR="00542B6F" w:rsidRDefault="00CA2622">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rsidR="00542B6F" w:rsidRDefault="00CA2622">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rsidR="00542B6F" w:rsidRDefault="00CA2622">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rsidR="00542B6F" w:rsidRDefault="00CA2622">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rsidR="00542B6F" w:rsidRDefault="00542B6F">
      <w:pPr>
        <w:jc w:val="center"/>
        <w:rPr>
          <w:rFonts w:ascii="Calibri" w:hAnsi="Calibri" w:cs="Times New Roman"/>
          <w:b/>
          <w:color w:val="000000"/>
          <w:sz w:val="16"/>
          <w:szCs w:val="16"/>
        </w:rPr>
      </w:pPr>
    </w:p>
    <w:p w:rsidR="00542B6F" w:rsidRDefault="00CA2622">
      <w:pPr>
        <w:pStyle w:val="NormalWeb"/>
        <w:jc w:val="both"/>
        <w:rPr>
          <w:rFonts w:ascii="Calibri" w:hAnsi="Calibri"/>
          <w:sz w:val="16"/>
          <w:szCs w:val="16"/>
        </w:rPr>
      </w:pPr>
      <w:r>
        <w:rPr>
          <w:rFonts w:ascii="Calibri" w:hAnsi="Calibri" w:cs="Arial"/>
          <w:b/>
          <w:bCs/>
          <w:i/>
          <w:iCs/>
          <w:color w:val="000000"/>
          <w:sz w:val="16"/>
          <w:szCs w:val="16"/>
          <w:lang w:eastAsia="en-US"/>
        </w:rPr>
        <w:t xml:space="preserve">Période éligible titre de laquelle l’aide est demandée : </w:t>
      </w:r>
      <w:r>
        <w:rPr>
          <w:rFonts w:ascii="Calibri" w:hAnsi="Calibri" w:cs="Arial"/>
          <w:b/>
          <w:bCs/>
          <w:i/>
          <w:iCs/>
          <w:color w:val="000000"/>
          <w:sz w:val="16"/>
          <w:szCs w:val="16"/>
          <w:u w:val="single"/>
          <w:lang w:eastAsia="en-US"/>
        </w:rPr>
        <w:t>juillet et août</w:t>
      </w:r>
      <w:r>
        <w:rPr>
          <w:rFonts w:ascii="Calibri" w:hAnsi="Calibri" w:cs="Arial"/>
          <w:b/>
          <w:bCs/>
          <w:i/>
          <w:iCs/>
          <w:color w:val="000000"/>
          <w:sz w:val="16"/>
          <w:szCs w:val="16"/>
          <w:u w:val="single"/>
          <w:lang w:eastAsia="en-US"/>
        </w:rPr>
        <w:t xml:space="preserve"> 2023 </w:t>
      </w:r>
    </w:p>
    <w:p w:rsidR="00542B6F" w:rsidRDefault="00542B6F">
      <w:pPr>
        <w:pStyle w:val="NormalWeb"/>
        <w:jc w:val="both"/>
        <w:rPr>
          <w:rFonts w:ascii="Calibri" w:hAnsi="Calibri" w:cs="Arial"/>
          <w:b/>
          <w:bCs/>
          <w:i/>
          <w:iCs/>
          <w:sz w:val="16"/>
          <w:szCs w:val="16"/>
          <w:u w:val="single"/>
          <w:lang w:eastAsia="en-US"/>
        </w:rPr>
      </w:pPr>
    </w:p>
    <w:p w:rsidR="00542B6F" w:rsidRDefault="00CA2622">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attestation ne concerne </w:t>
      </w:r>
      <w:r>
        <w:rPr>
          <w:rFonts w:ascii="Calibri" w:hAnsi="Calibri" w:cs="Arial"/>
          <w:b/>
          <w:bCs/>
          <w:color w:val="000000"/>
          <w:sz w:val="16"/>
          <w:szCs w:val="16"/>
          <w:lang w:eastAsia="en-US"/>
        </w:rPr>
        <w:t>que les guichets d’aides plafonnées à 50 M€ et 150 M€. Depuis la période éligible septembre-octobre 2022 et pour le guichet à 4 M€, aucune attestation de l’expert-comptable n’est requise.</w:t>
      </w:r>
    </w:p>
    <w:p w:rsidR="00542B6F" w:rsidRDefault="00542B6F">
      <w:pPr>
        <w:pStyle w:val="NormalWeb"/>
        <w:rPr>
          <w:rFonts w:ascii="Calibri" w:hAnsi="Calibri" w:cs="Arial"/>
          <w:b/>
          <w:bCs/>
          <w:i/>
          <w:iCs/>
          <w:sz w:val="16"/>
          <w:szCs w:val="16"/>
          <w:lang w:eastAsia="en-US"/>
        </w:rPr>
      </w:pPr>
    </w:p>
    <w:p w:rsidR="00542B6F" w:rsidRDefault="00CA2622">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89pt;height:16.5pt" o:ole="">
            <v:imagedata r:id="rId6" o:title=""/>
          </v:shape>
          <w:control r:id="rId7" w:name="Zone de texte 1" w:shapeid="_x0000_i1183"/>
        </w:object>
      </w:r>
    </w:p>
    <w:p w:rsidR="00542B6F" w:rsidRDefault="00542B6F">
      <w:pPr>
        <w:ind w:right="340"/>
        <w:jc w:val="both"/>
        <w:rPr>
          <w:rFonts w:ascii="Calibri" w:eastAsia="DejaVuSans" w:hAnsi="Calibri" w:cs="Marianne"/>
          <w:b/>
          <w:bCs/>
          <w:sz w:val="16"/>
          <w:szCs w:val="16"/>
        </w:rPr>
      </w:pPr>
    </w:p>
    <w:p w:rsidR="00542B6F" w:rsidRDefault="00CA2622">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v:shape id="_x0000_i1185" type="#_x0000_t75" style="width:20.25pt;height:16.5pt" o:ole="">
            <v:imagedata r:id="rId8" o:title=""/>
          </v:shape>
          <w:control r:id="rId9" w:name="Zone de texte 11" w:shapeid="_x0000_i1185"/>
        </w:object>
      </w:r>
      <w:r>
        <w:rPr>
          <w:rFonts w:ascii="Calibri" w:eastAsia="DejaVuSans" w:hAnsi="Calibri" w:cs="Arial"/>
          <w:b/>
          <w:bCs/>
          <w:sz w:val="16"/>
          <w:szCs w:val="16"/>
          <w:lang w:eastAsia="en-US"/>
        </w:rPr>
        <w:object w:dxaOrig="225" w:dyaOrig="225">
          <v:shape id="_x0000_i1187" type="#_x0000_t75" style="width:20.25pt;height:16.5pt" o:ole="">
            <v:imagedata r:id="rId8" o:title=""/>
          </v:shape>
          <w:control r:id="rId10" w:name="Zone de texte 12" w:shapeid="_x0000_i1187"/>
        </w:object>
      </w:r>
      <w:r>
        <w:rPr>
          <w:rFonts w:ascii="Calibri" w:eastAsia="DejaVuSans" w:hAnsi="Calibri" w:cs="Arial"/>
          <w:b/>
          <w:bCs/>
          <w:sz w:val="16"/>
          <w:szCs w:val="16"/>
          <w:lang w:eastAsia="en-US"/>
        </w:rPr>
        <w:object w:dxaOrig="225" w:dyaOrig="225">
          <v:shape id="_x0000_i1189" type="#_x0000_t75" style="width:20.25pt;height:16.5pt" o:ole="">
            <v:imagedata r:id="rId8" o:title=""/>
          </v:shape>
          <w:control r:id="rId11" w:name="Zone de texte 13" w:shapeid="_x0000_i1189"/>
        </w:object>
      </w:r>
      <w:r>
        <w:rPr>
          <w:rFonts w:ascii="Calibri" w:eastAsia="DejaVuSans" w:hAnsi="Calibri" w:cs="Arial"/>
          <w:b/>
          <w:bCs/>
          <w:sz w:val="16"/>
          <w:szCs w:val="16"/>
          <w:lang w:eastAsia="en-US"/>
        </w:rPr>
        <w:object w:dxaOrig="225" w:dyaOrig="225">
          <v:shape id="_x0000_i1191" type="#_x0000_t75" style="width:20.25pt;height:16.5pt" o:ole="">
            <v:imagedata r:id="rId8" o:title=""/>
          </v:shape>
          <w:control r:id="rId12" w:name="Zone de texte 14" w:shapeid="_x0000_i1191"/>
        </w:object>
      </w:r>
      <w:r>
        <w:rPr>
          <w:rFonts w:ascii="Calibri" w:eastAsia="DejaVuSans" w:hAnsi="Calibri" w:cs="Arial"/>
          <w:b/>
          <w:bCs/>
          <w:sz w:val="16"/>
          <w:szCs w:val="16"/>
          <w:lang w:eastAsia="en-US"/>
        </w:rPr>
        <w:object w:dxaOrig="225" w:dyaOrig="225">
          <v:shape id="_x0000_i1193" type="#_x0000_t75" style="width:20.25pt;height:16.5pt" o:ole="">
            <v:imagedata r:id="rId8" o:title=""/>
          </v:shape>
          <w:control r:id="rId13" w:name="Zone de texte 15" w:shapeid="_x0000_i1193"/>
        </w:object>
      </w:r>
      <w:r>
        <w:rPr>
          <w:rFonts w:ascii="Calibri" w:eastAsia="DejaVuSans" w:hAnsi="Calibri" w:cs="Arial"/>
          <w:b/>
          <w:bCs/>
          <w:sz w:val="16"/>
          <w:szCs w:val="16"/>
          <w:lang w:eastAsia="en-US"/>
        </w:rPr>
        <w:object w:dxaOrig="225" w:dyaOrig="225">
          <v:shape id="_x0000_i1195" type="#_x0000_t75" style="width:20.25pt;height:16.5pt" o:ole="">
            <v:imagedata r:id="rId8" o:title=""/>
          </v:shape>
          <w:control r:id="rId14" w:name="Zone de texte 16" w:shapeid="_x0000_i1195"/>
        </w:object>
      </w:r>
      <w:r>
        <w:rPr>
          <w:rFonts w:ascii="Calibri" w:eastAsia="DejaVuSans" w:hAnsi="Calibri" w:cs="Arial"/>
          <w:b/>
          <w:bCs/>
          <w:sz w:val="16"/>
          <w:szCs w:val="16"/>
          <w:lang w:eastAsia="en-US"/>
        </w:rPr>
        <w:object w:dxaOrig="225" w:dyaOrig="225">
          <v:shape id="_x0000_i1197" type="#_x0000_t75" style="width:20.25pt;height:16.5pt" o:ole="">
            <v:imagedata r:id="rId8" o:title=""/>
          </v:shape>
          <w:control r:id="rId15" w:name="Zone de texte 17" w:shapeid="_x0000_i1197"/>
        </w:object>
      </w:r>
      <w:r>
        <w:rPr>
          <w:rFonts w:ascii="Calibri" w:eastAsia="DejaVuSans" w:hAnsi="Calibri" w:cs="Arial"/>
          <w:b/>
          <w:bCs/>
          <w:sz w:val="16"/>
          <w:szCs w:val="16"/>
          <w:lang w:eastAsia="en-US"/>
        </w:rPr>
        <w:object w:dxaOrig="225" w:dyaOrig="225">
          <v:shape id="_x0000_i1199" type="#_x0000_t75" style="width:20.25pt;height:16.5pt" o:ole="">
            <v:imagedata r:id="rId8" o:title=""/>
          </v:shape>
          <w:control r:id="rId16" w:name="Zone de texte 18" w:shapeid="_x0000_i1199"/>
        </w:object>
      </w:r>
      <w:r>
        <w:rPr>
          <w:rFonts w:ascii="Calibri" w:eastAsia="DejaVuSans" w:hAnsi="Calibri" w:cs="Arial"/>
          <w:b/>
          <w:bCs/>
          <w:sz w:val="16"/>
          <w:szCs w:val="16"/>
          <w:lang w:eastAsia="en-US"/>
        </w:rPr>
        <w:object w:dxaOrig="225" w:dyaOrig="225">
          <v:shape id="_x0000_i1201" type="#_x0000_t75" style="width:20.25pt;height:16.5pt" o:ole="">
            <v:imagedata r:id="rId8" o:title=""/>
          </v:shape>
          <w:control r:id="rId17" w:name="Zone de texte 19" w:shapeid="_x0000_i1201"/>
        </w:object>
      </w:r>
    </w:p>
    <w:p w:rsidR="00542B6F" w:rsidRDefault="00542B6F">
      <w:pPr>
        <w:ind w:right="340"/>
        <w:jc w:val="both"/>
        <w:rPr>
          <w:rFonts w:ascii="Calibri" w:eastAsia="DejaVuSans" w:hAnsi="Calibri" w:cs="Arial"/>
          <w:b/>
          <w:bCs/>
          <w:sz w:val="16"/>
          <w:szCs w:val="16"/>
          <w:lang w:eastAsia="en-US"/>
        </w:rPr>
      </w:pPr>
    </w:p>
    <w:p w:rsidR="00542B6F" w:rsidRDefault="00CA2622">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rsidR="00542B6F" w:rsidRDefault="00CA2622">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v:shape id="_x0000_i1203" type="#_x0000_t75" style="width:16.5pt;height:22.5pt" o:ole="">
            <v:imagedata r:id="rId18" o:title=""/>
          </v:shape>
          <w:control r:id="rId19" w:name="Case à cocher 2" w:shapeid="_x0000_i1203"/>
        </w:object>
      </w:r>
      <w:r>
        <w:rPr>
          <w:rFonts w:ascii="Calibri" w:eastAsia="DejaVuSans" w:hAnsi="Calibri" w:cs="Arial"/>
          <w:sz w:val="16"/>
          <w:szCs w:val="16"/>
          <w:lang w:eastAsia="en-US"/>
        </w:rPr>
        <w:t>Non</w:t>
      </w:r>
    </w:p>
    <w:p w:rsidR="00542B6F" w:rsidRDefault="00CA2622">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v:shape id="_x0000_i1205" type="#_x0000_t75" style="width:16.5pt;height:22.5pt" o:ole="">
            <v:imagedata r:id="rId18" o:title=""/>
          </v:shape>
          <w:control r:id="rId20"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542B6F">
        <w:trPr>
          <w:trHeight w:val="497"/>
        </w:trPr>
        <w:tc>
          <w:tcPr>
            <w:tcW w:w="1724" w:type="dxa"/>
            <w:tcBorders>
              <w:top w:val="single" w:sz="2" w:space="0" w:color="000000"/>
              <w:left w:val="single" w:sz="2" w:space="0" w:color="000000"/>
              <w:bottom w:val="single" w:sz="2" w:space="0" w:color="000000"/>
            </w:tcBorders>
          </w:tcPr>
          <w:p w:rsidR="00542B6F" w:rsidRDefault="00CA2622">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rsidR="00542B6F" w:rsidRDefault="00CA2622">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07" type="#_x0000_t75" style="width:211.5pt;height:16.5pt" o:ole="">
                  <v:imagedata r:id="rId21" o:title=""/>
                </v:shape>
                <w:control r:id="rId22" w:name="Zone de texte 2" w:shapeid="_x0000_i1207"/>
              </w:object>
            </w:r>
          </w:p>
        </w:tc>
      </w:tr>
      <w:tr w:rsidR="00542B6F">
        <w:tc>
          <w:tcPr>
            <w:tcW w:w="1724" w:type="dxa"/>
            <w:tcBorders>
              <w:left w:val="single" w:sz="2" w:space="0" w:color="000000"/>
              <w:bottom w:val="single" w:sz="2" w:space="0" w:color="000000"/>
            </w:tcBorders>
          </w:tcPr>
          <w:p w:rsidR="00542B6F" w:rsidRDefault="00CA2622">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rsidR="00542B6F" w:rsidRDefault="00CA2622">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09" type="#_x0000_t75" style="width:211.5pt;height:16.5pt" o:ole="">
                  <v:imagedata r:id="rId21" o:title=""/>
                </v:shape>
                <w:control r:id="rId23" w:name="Zone de texte 21" w:shapeid="_x0000_i1209"/>
              </w:object>
            </w:r>
          </w:p>
        </w:tc>
      </w:tr>
      <w:tr w:rsidR="00542B6F">
        <w:tc>
          <w:tcPr>
            <w:tcW w:w="1724" w:type="dxa"/>
            <w:tcBorders>
              <w:left w:val="single" w:sz="2" w:space="0" w:color="000000"/>
              <w:bottom w:val="single" w:sz="2" w:space="0" w:color="000000"/>
            </w:tcBorders>
          </w:tcPr>
          <w:p w:rsidR="00542B6F" w:rsidRDefault="00CA2622">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rsidR="00542B6F" w:rsidRDefault="00CA2622">
            <w:pPr>
              <w:rPr>
                <w:rFonts w:ascii="Calibri" w:hAnsi="Calibri"/>
                <w:sz w:val="16"/>
                <w:szCs w:val="16"/>
              </w:rPr>
            </w:pPr>
            <w:r>
              <w:rPr>
                <w:rFonts w:ascii="Calibri" w:hAnsi="Calibri"/>
                <w:sz w:val="16"/>
                <w:szCs w:val="16"/>
              </w:rPr>
              <w:object w:dxaOrig="225" w:dyaOrig="225">
                <v:shape id="_x0000_i1211" type="#_x0000_t75" style="width:211.5pt;height:47.25pt" o:ole="">
                  <v:imagedata r:id="rId24" o:title=""/>
                </v:shape>
                <w:control r:id="rId25" w:name="Zone de texte 22" w:shapeid="_x0000_i1211"/>
              </w:object>
            </w:r>
          </w:p>
        </w:tc>
      </w:tr>
    </w:tbl>
    <w:p w:rsidR="00542B6F" w:rsidRDefault="00542B6F">
      <w:pPr>
        <w:ind w:left="708" w:right="57"/>
        <w:jc w:val="both"/>
        <w:rPr>
          <w:rFonts w:ascii="Calibri" w:eastAsia="DejaVuSans" w:hAnsi="Calibri" w:cs="Arial"/>
          <w:b/>
          <w:bCs/>
          <w:sz w:val="16"/>
          <w:szCs w:val="16"/>
          <w:lang w:eastAsia="en-US"/>
        </w:rPr>
      </w:pPr>
    </w:p>
    <w:p w:rsidR="00542B6F" w:rsidRDefault="00542B6F">
      <w:pPr>
        <w:pStyle w:val="NormalWeb"/>
        <w:ind w:left="708"/>
        <w:rPr>
          <w:rFonts w:ascii="Calibri" w:eastAsia="DejaVuSans" w:hAnsi="Calibri" w:cs="Arial"/>
          <w:b/>
          <w:bCs/>
          <w:sz w:val="16"/>
          <w:szCs w:val="16"/>
          <w:lang w:eastAsia="en-US"/>
        </w:rPr>
      </w:pPr>
    </w:p>
    <w:p w:rsidR="00542B6F" w:rsidRDefault="00CA2622">
      <w:pPr>
        <w:ind w:right="340"/>
        <w:jc w:val="both"/>
        <w:rPr>
          <w:rFonts w:ascii="Calibri" w:hAnsi="Calibri"/>
        </w:rPr>
      </w:pPr>
      <w:r>
        <w:rPr>
          <w:rFonts w:ascii="Calibri" w:hAnsi="Calibri"/>
          <w:b/>
          <w:bCs/>
          <w:sz w:val="16"/>
          <w:szCs w:val="16"/>
        </w:rPr>
        <w:t xml:space="preserve">Situation de l’entreprise/Secteur </w:t>
      </w:r>
      <w:r>
        <w:rPr>
          <w:rFonts w:ascii="Calibri" w:hAnsi="Calibri"/>
          <w:b/>
          <w:bCs/>
          <w:sz w:val="16"/>
          <w:szCs w:val="16"/>
        </w:rPr>
        <w:t>d’activité (choisir entre l’option 1 et l’option 2 et cocher les cases correspondantes) :</w:t>
      </w:r>
    </w:p>
    <w:p w:rsidR="00542B6F" w:rsidRDefault="00542B6F">
      <w:pPr>
        <w:jc w:val="both"/>
        <w:rPr>
          <w:rFonts w:ascii="Calibri" w:hAnsi="Calibri"/>
          <w:color w:val="000000"/>
          <w:sz w:val="16"/>
          <w:szCs w:val="16"/>
        </w:rPr>
      </w:pPr>
    </w:p>
    <w:p w:rsidR="00542B6F" w:rsidRDefault="00CA2622">
      <w:pPr>
        <w:jc w:val="both"/>
      </w:pPr>
      <w:r>
        <w:rPr>
          <w:rFonts w:ascii="Calibri" w:eastAsia="Segoe UI Historic" w:hAnsi="Calibri" w:cs="Cambria Math"/>
          <w:b/>
          <w:bCs/>
          <w:color w:val="000000"/>
          <w:sz w:val="16"/>
          <w:szCs w:val="16"/>
          <w:u w:val="single"/>
        </w:rPr>
        <w:object w:dxaOrig="225" w:dyaOrig="225">
          <v:shape id="_x0000_i1213" type="#_x0000_t75" style="width:16.5pt;height:22.5pt" o:ole="">
            <v:imagedata r:id="rId18" o:title=""/>
          </v:shape>
          <w:control r:id="rId26"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(g</w:t>
      </w:r>
      <w:r>
        <w:rPr>
          <w:rFonts w:ascii="Calibri" w:eastAsia="DejaVuSans" w:hAnsi="Calibri" w:cs="Calibri"/>
          <w:color w:val="000000"/>
          <w:sz w:val="16"/>
          <w:szCs w:val="16"/>
        </w:rPr>
        <w:t xml:space="preserve">az naturel, électricité, chaleur </w:t>
      </w:r>
      <w:r>
        <w:rPr>
          <w:rFonts w:ascii="Calibri" w:eastAsia="DejaVuSans" w:hAnsi="Calibri" w:cs="Calibri"/>
          <w:color w:val="000000"/>
          <w:sz w:val="16"/>
          <w:szCs w:val="16"/>
        </w:rPr>
        <w:t>produite à partir d’électricité ou de gaz 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rsidR="00542B6F" w:rsidRDefault="00542B6F">
      <w:pPr>
        <w:jc w:val="both"/>
        <w:rPr>
          <w:rFonts w:ascii="Calibri" w:hAnsi="Calibri" w:cs="Calibri"/>
          <w:color w:val="000000"/>
          <w:sz w:val="16"/>
          <w:szCs w:val="16"/>
        </w:rPr>
      </w:pPr>
    </w:p>
    <w:p w:rsidR="00542B6F" w:rsidRDefault="00CA2622">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542B6F" w:rsidRDefault="00542B6F">
      <w:pPr>
        <w:ind w:right="340"/>
        <w:jc w:val="both"/>
        <w:rPr>
          <w:rFonts w:ascii="Calibri" w:hAnsi="Calibri"/>
          <w:color w:val="000000"/>
          <w:sz w:val="16"/>
          <w:szCs w:val="16"/>
        </w:rPr>
      </w:pPr>
    </w:p>
    <w:p w:rsidR="00542B6F" w:rsidRDefault="00CA2622">
      <w:pPr>
        <w:pStyle w:val="Corpsdetexte"/>
        <w:spacing w:after="0" w:line="240" w:lineRule="auto"/>
        <w:ind w:left="708"/>
        <w:jc w:val="both"/>
      </w:pPr>
      <w:r>
        <w:rPr>
          <w:rFonts w:ascii="Calibri" w:hAnsi="Calibri"/>
          <w:sz w:val="16"/>
          <w:szCs w:val="16"/>
        </w:rPr>
        <w:object w:dxaOrig="225" w:dyaOrig="225">
          <v:shape id="_x0000_i1215" type="#_x0000_t75" style="width:16.5pt;height:22.5pt" o:ole="">
            <v:imagedata r:id="rId18" o:title=""/>
          </v:shape>
          <w:control r:id="rId27" w:name="Case à cocher 1" w:shapeid="_x0000_i1215"/>
        </w:object>
      </w:r>
      <w:r>
        <w:rPr>
          <w:rFonts w:ascii="Calibri" w:hAnsi="Calibri"/>
          <w:sz w:val="16"/>
          <w:szCs w:val="16"/>
        </w:rPr>
        <w:t>Option « forfait » : l’exc</w:t>
      </w:r>
      <w:r>
        <w:rPr>
          <w:rFonts w:ascii="Calibri" w:hAnsi="Calibri"/>
          <w:sz w:val="16"/>
          <w:szCs w:val="16"/>
        </w:rPr>
        <w:t>édent brut d’exploitation gaz et électricité de la période de référence (2021) est rapporté sur deux mois (montant de l’année 2021 divisé par 6),</w:t>
      </w:r>
    </w:p>
    <w:p w:rsidR="00542B6F" w:rsidRDefault="00CA2622">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v:shape id="_x0000_i1217" type="#_x0000_t75" style="width:16.5pt;height:22.5pt" o:ole="">
            <v:imagedata r:id="rId18" o:title=""/>
          </v:shape>
          <w:control r:id="rId28" w:name="Case à cocher 11" w:shapeid="_x0000_i1217"/>
        </w:object>
      </w:r>
      <w:r>
        <w:rPr>
          <w:rFonts w:ascii="Calibri" w:hAnsi="Calibri" w:cs="Calibri"/>
          <w:color w:val="000000"/>
          <w:sz w:val="16"/>
          <w:szCs w:val="16"/>
        </w:rPr>
        <w:t xml:space="preserve">Option « réel » : l’excédent brut d’exploitation gaz et électricité est calculé sur les mêmes mois de la </w:t>
      </w:r>
      <w:r>
        <w:rPr>
          <w:rFonts w:ascii="Calibri" w:hAnsi="Calibri" w:cs="Calibri"/>
          <w:color w:val="000000"/>
          <w:sz w:val="16"/>
          <w:szCs w:val="16"/>
        </w:rPr>
        <w:t>période de référence que celui de la période éligible.</w:t>
      </w:r>
    </w:p>
    <w:p w:rsidR="00542B6F" w:rsidRDefault="00542B6F">
      <w:pPr>
        <w:jc w:val="both"/>
        <w:rPr>
          <w:rFonts w:ascii="Calibri" w:hAnsi="Calibri" w:cs="Calibri"/>
          <w:color w:val="000000"/>
          <w:sz w:val="16"/>
          <w:szCs w:val="16"/>
        </w:rPr>
      </w:pPr>
    </w:p>
    <w:p w:rsidR="00542B6F" w:rsidRDefault="00542B6F">
      <w:pPr>
        <w:jc w:val="both"/>
        <w:rPr>
          <w:rFonts w:ascii="Calibri" w:hAnsi="Calibri" w:cs="Calibri"/>
          <w:color w:val="000000"/>
          <w:sz w:val="16"/>
          <w:szCs w:val="16"/>
        </w:rPr>
      </w:pPr>
    </w:p>
    <w:p w:rsidR="00542B6F" w:rsidRDefault="00CA2622">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v:shape id="_x0000_i1219" type="#_x0000_t75" style="width:16.5pt;height:22.5pt" o:ole="">
            <v:imagedata r:id="rId18" o:title=""/>
          </v:shape>
          <w:control r:id="rId29"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w:t>
      </w:r>
      <w:r>
        <w:rPr>
          <w:rFonts w:ascii="Calibri" w:hAnsi="Calibri" w:cs="Calibri"/>
          <w:color w:val="000000"/>
          <w:sz w:val="16"/>
          <w:szCs w:val="16"/>
        </w:rPr>
        <w:t xml:space="preserve">es case(s)) – </w:t>
      </w:r>
      <w:r>
        <w:rPr>
          <w:rFonts w:ascii="Calibri" w:hAnsi="Calibri" w:cs="Calibri"/>
          <w:b/>
          <w:bCs/>
          <w:color w:val="000000"/>
          <w:sz w:val="16"/>
          <w:szCs w:val="16"/>
        </w:rPr>
        <w:t>aide plafonnée à 150 M€</w:t>
      </w:r>
      <w:r>
        <w:rPr>
          <w:rFonts w:ascii="Calibri" w:hAnsi="Calibri" w:cs="Calibri"/>
          <w:color w:val="000000"/>
          <w:sz w:val="16"/>
          <w:szCs w:val="16"/>
        </w:rPr>
        <w:t> :</w:t>
      </w:r>
    </w:p>
    <w:p w:rsidR="00542B6F" w:rsidRDefault="00542B6F">
      <w:pPr>
        <w:pStyle w:val="Corpsdetexte"/>
        <w:spacing w:after="0" w:line="240" w:lineRule="auto"/>
        <w:ind w:left="708"/>
        <w:jc w:val="both"/>
        <w:rPr>
          <w:rFonts w:ascii="Calibri" w:hAnsi="Calibri"/>
          <w:sz w:val="16"/>
          <w:szCs w:val="16"/>
        </w:rPr>
      </w:pPr>
    </w:p>
    <w:p w:rsidR="00542B6F" w:rsidRDefault="00CA2622">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1" type="#_x0000_t75" style="width:16.5pt;height:22.5pt" o:ole="">
            <v:imagedata r:id="rId18" o:title=""/>
          </v:shape>
          <w:control r:id="rId30" w:name="Case à cocher 12" w:shapeid="_x0000_i1221"/>
        </w:object>
      </w:r>
      <w:r>
        <w:rPr>
          <w:rFonts w:ascii="Calibri" w:hAnsi="Calibri"/>
          <w:sz w:val="16"/>
          <w:szCs w:val="16"/>
        </w:rPr>
        <w:t>Extraction de houille</w:t>
      </w:r>
    </w:p>
    <w:p w:rsidR="00542B6F" w:rsidRDefault="00CA2622">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3" type="#_x0000_t75" style="width:16.5pt;height:22.5pt" o:ole="">
            <v:imagedata r:id="rId18" o:title=""/>
          </v:shape>
          <w:control r:id="rId31" w:name="Case à cocher 13" w:shapeid="_x0000_i1223"/>
        </w:object>
      </w:r>
      <w:r>
        <w:rPr>
          <w:rFonts w:ascii="Calibri" w:hAnsi="Calibri"/>
          <w:sz w:val="16"/>
          <w:szCs w:val="16"/>
        </w:rPr>
        <w:t>Extraction de pétrole brut</w:t>
      </w:r>
    </w:p>
    <w:p w:rsidR="00542B6F" w:rsidRDefault="00CA2622">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225" w:dyaOrig="225">
          <v:shape id="_x0000_i1225" type="#_x0000_t75" style="width:16.5pt;height:22.5pt" o:ole="">
            <v:imagedata r:id="rId18" o:title=""/>
          </v:shape>
          <w:control r:id="rId32" w:name="Case à cocher 14" w:shapeid="_x0000_i1225"/>
        </w:object>
      </w:r>
      <w:r>
        <w:rPr>
          <w:rFonts w:ascii="Calibri" w:hAnsi="Calibri"/>
          <w:sz w:val="16"/>
          <w:szCs w:val="16"/>
        </w:rPr>
        <w:t>Extraction de minerais de fer</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27" type="#_x0000_t75" style="width:16.5pt;height:22.5pt" o:ole="">
            <v:imagedata r:id="rId18" o:title=""/>
          </v:shape>
          <w:control r:id="rId33" w:name="Case à cocher 15" w:shapeid="_x0000_i1227"/>
        </w:object>
      </w:r>
      <w:r>
        <w:rPr>
          <w:rFonts w:ascii="Calibri" w:hAnsi="Calibri"/>
          <w:sz w:val="16"/>
          <w:szCs w:val="16"/>
        </w:rPr>
        <w:t>Extraction d’autres minerais de métaux non ferreux</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29" type="#_x0000_t75" style="width:16.5pt;height:22.5pt" o:ole="">
            <v:imagedata r:id="rId18" o:title=""/>
          </v:shape>
          <w:control r:id="rId34" w:name="Case à cocher 16" w:shapeid="_x0000_i1229"/>
        </w:object>
      </w:r>
      <w:r>
        <w:rPr>
          <w:rFonts w:ascii="Calibri" w:hAnsi="Calibri"/>
          <w:sz w:val="16"/>
          <w:szCs w:val="16"/>
        </w:rPr>
        <w:t>Extraction des minéraux chimiques et d’engrais minéraux</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31" type="#_x0000_t75" style="width:16.5pt;height:22.5pt" o:ole="">
            <v:imagedata r:id="rId18" o:title=""/>
          </v:shape>
          <w:control r:id="rId35" w:name="Case à cocher 17" w:shapeid="_x0000_i1231"/>
        </w:object>
      </w:r>
      <w:r>
        <w:rPr>
          <w:rFonts w:ascii="Calibri" w:hAnsi="Calibri"/>
          <w:sz w:val="16"/>
          <w:szCs w:val="16"/>
        </w:rPr>
        <w:t>Production de sel</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33" type="#_x0000_t75" style="width:16.5pt;height:22.5pt" o:ole="">
            <v:imagedata r:id="rId18" o:title=""/>
          </v:shape>
          <w:control r:id="rId36" w:name="Case à cocher 18" w:shapeid="_x0000_i1233"/>
        </w:object>
      </w:r>
      <w:r>
        <w:rPr>
          <w:rFonts w:ascii="Calibri" w:hAnsi="Calibri"/>
          <w:sz w:val="16"/>
          <w:szCs w:val="16"/>
        </w:rPr>
        <w:t>Autres activités extractives n.c.a.</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35" type="#_x0000_t75" style="width:16.5pt;height:22.5pt" o:ole="">
            <v:imagedata r:id="rId18" o:title=""/>
          </v:shape>
          <w:control r:id="rId37" w:name="Case à cocher 19" w:shapeid="_x0000_i1235"/>
        </w:object>
      </w:r>
      <w:r>
        <w:rPr>
          <w:rFonts w:ascii="Calibri" w:hAnsi="Calibri"/>
          <w:sz w:val="16"/>
          <w:szCs w:val="16"/>
        </w:rPr>
        <w:t>Fabrication d’huiles et graisses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37" type="#_x0000_t75" style="width:16.5pt;height:22.5pt" o:ole="">
            <v:imagedata r:id="rId18" o:title=""/>
          </v:shape>
          <w:control r:id="rId38" w:name="Case à cocher 110" w:shapeid="_x0000_i1237"/>
        </w:object>
      </w:r>
      <w:r>
        <w:rPr>
          <w:rFonts w:ascii="Calibri" w:hAnsi="Calibri"/>
          <w:sz w:val="16"/>
          <w:szCs w:val="16"/>
        </w:rPr>
        <w:t>Fabrication de produits amylacés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39" type="#_x0000_t75" style="width:16.5pt;height:22.5pt" o:ole="">
            <v:imagedata r:id="rId18" o:title=""/>
          </v:shape>
          <w:control r:id="rId39" w:name="Case à cocher 111" w:shapeid="_x0000_i1239"/>
        </w:object>
      </w:r>
      <w:r>
        <w:rPr>
          <w:rFonts w:ascii="Calibri" w:hAnsi="Calibri"/>
          <w:sz w:val="16"/>
          <w:szCs w:val="16"/>
        </w:rPr>
        <w:t>Fabrication de sucre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41" type="#_x0000_t75" style="width:16.5pt;height:22.5pt" o:ole="">
            <v:imagedata r:id="rId18" o:title=""/>
          </v:shape>
          <w:control r:id="rId40" w:name="Case à cocher 112" w:shapeid="_x0000_i1241"/>
        </w:object>
      </w:r>
      <w:r>
        <w:rPr>
          <w:rFonts w:ascii="Calibri" w:hAnsi="Calibri"/>
          <w:sz w:val="16"/>
          <w:szCs w:val="16"/>
        </w:rPr>
        <w:t>Fabrication de malt</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43" type="#_x0000_t75" style="width:16.5pt;height:22.5pt" o:ole="">
            <v:imagedata r:id="rId18" o:title=""/>
          </v:shape>
          <w:control r:id="rId41" w:name="Case à cocher 113" w:shapeid="_x0000_i1243"/>
        </w:object>
      </w:r>
      <w:r>
        <w:rPr>
          <w:rFonts w:ascii="Calibri" w:hAnsi="Calibri"/>
          <w:sz w:val="16"/>
          <w:szCs w:val="16"/>
        </w:rPr>
        <w:t>Préparation de fibres textiles et filature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45" type="#_x0000_t75" style="width:16.5pt;height:22.5pt" o:ole="">
            <v:imagedata r:id="rId18" o:title=""/>
          </v:shape>
          <w:control r:id="rId42" w:name="Case à cocher 114" w:shapeid="_x0000_i1245"/>
        </w:object>
      </w:r>
      <w:r>
        <w:rPr>
          <w:rFonts w:ascii="Calibri" w:hAnsi="Calibri"/>
          <w:sz w:val="16"/>
          <w:szCs w:val="16"/>
        </w:rPr>
        <w:t>Ennoblissement textile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47" type="#_x0000_t75" style="width:16.5pt;height:22.5pt" o:ole="">
            <v:imagedata r:id="rId18" o:title=""/>
          </v:shape>
          <w:control r:id="rId43" w:name="Case à cocher 115" w:shapeid="_x0000_i1247"/>
        </w:object>
      </w:r>
      <w:r>
        <w:rPr>
          <w:rFonts w:ascii="Calibri" w:hAnsi="Calibri"/>
          <w:sz w:val="16"/>
          <w:szCs w:val="16"/>
        </w:rPr>
        <w:t xml:space="preserve">Fabrication de non-tissés, sauf </w:t>
      </w:r>
      <w:r>
        <w:rPr>
          <w:rFonts w:ascii="Calibri" w:hAnsi="Calibri"/>
          <w:sz w:val="16"/>
          <w:szCs w:val="16"/>
        </w:rPr>
        <w:t>habillement</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49" type="#_x0000_t75" style="width:16.5pt;height:22.5pt" o:ole="">
            <v:imagedata r:id="rId18" o:title=""/>
          </v:shape>
          <w:control r:id="rId44" w:name="Case à cocher 116" w:shapeid="_x0000_i1249"/>
        </w:object>
      </w:r>
      <w:r>
        <w:rPr>
          <w:rFonts w:ascii="Calibri" w:hAnsi="Calibri"/>
          <w:sz w:val="16"/>
          <w:szCs w:val="16"/>
        </w:rPr>
        <w:t>Fabrication de vêtements en cuir</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51" type="#_x0000_t75" style="width:16.5pt;height:22.5pt" o:ole="">
            <v:imagedata r:id="rId18" o:title=""/>
          </v:shape>
          <w:control r:id="rId45" w:name="Case à cocher 117" w:shapeid="_x0000_i1251"/>
        </w:object>
      </w:r>
      <w:r>
        <w:rPr>
          <w:rFonts w:ascii="Calibri" w:hAnsi="Calibri"/>
          <w:sz w:val="16"/>
          <w:szCs w:val="16"/>
        </w:rPr>
        <w:t>Fabrication de placage et de panneaux de bois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53" type="#_x0000_t75" style="width:16.5pt;height:22.5pt" o:ole="">
            <v:imagedata r:id="rId18" o:title=""/>
          </v:shape>
          <w:control r:id="rId46" w:name="Case à cocher 118" w:shapeid="_x0000_i1253"/>
        </w:object>
      </w:r>
      <w:r>
        <w:rPr>
          <w:rFonts w:ascii="Calibri" w:hAnsi="Calibri"/>
          <w:sz w:val="16"/>
          <w:szCs w:val="16"/>
        </w:rPr>
        <w:t>Fabrication de pâte à papier</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55" type="#_x0000_t75" style="width:16.5pt;height:22.5pt" o:ole="">
            <v:imagedata r:id="rId18" o:title=""/>
          </v:shape>
          <w:control r:id="rId47" w:name="Case à cocher 119" w:shapeid="_x0000_i1255"/>
        </w:object>
      </w:r>
      <w:r>
        <w:rPr>
          <w:rFonts w:ascii="Calibri" w:hAnsi="Calibri"/>
          <w:sz w:val="16"/>
          <w:szCs w:val="16"/>
        </w:rPr>
        <w:t>Fabrication de papier et de carton</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57" type="#_x0000_t75" style="width:16.5pt;height:22.5pt" o:ole="">
            <v:imagedata r:id="rId18" o:title=""/>
          </v:shape>
          <w:control r:id="rId48" w:name="Case à cocher 120" w:shapeid="_x0000_i1257"/>
        </w:object>
      </w:r>
      <w:r>
        <w:rPr>
          <w:rFonts w:ascii="Calibri" w:hAnsi="Calibri"/>
          <w:sz w:val="16"/>
          <w:szCs w:val="16"/>
        </w:rPr>
        <w:t>Cokéfaction</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59" type="#_x0000_t75" style="width:16.5pt;height:22.5pt" o:ole="">
            <v:imagedata r:id="rId18" o:title=""/>
          </v:shape>
          <w:control r:id="rId49" w:name="Case à cocher 121" w:shapeid="_x0000_i1259"/>
        </w:object>
      </w:r>
      <w:r>
        <w:rPr>
          <w:rFonts w:ascii="Calibri" w:hAnsi="Calibri"/>
          <w:sz w:val="16"/>
          <w:szCs w:val="16"/>
        </w:rPr>
        <w:t>Raffinage du pétrole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61" type="#_x0000_t75" style="width:16.5pt;height:22.5pt" o:ole="">
            <v:imagedata r:id="rId18" o:title=""/>
          </v:shape>
          <w:control r:id="rId50" w:name="Case à cocher 122" w:shapeid="_x0000_i1261"/>
        </w:object>
      </w:r>
      <w:r>
        <w:rPr>
          <w:rFonts w:ascii="Calibri" w:hAnsi="Calibri"/>
          <w:sz w:val="16"/>
          <w:szCs w:val="16"/>
        </w:rPr>
        <w:t>Fabrication de gaz industriels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63" type="#_x0000_t75" style="width:16.5pt;height:22.5pt" o:ole="">
            <v:imagedata r:id="rId18" o:title=""/>
          </v:shape>
          <w:control r:id="rId51" w:name="Case à cocher 123" w:shapeid="_x0000_i1263"/>
        </w:object>
      </w:r>
      <w:r>
        <w:rPr>
          <w:rFonts w:ascii="Calibri" w:hAnsi="Calibri"/>
          <w:sz w:val="16"/>
          <w:szCs w:val="16"/>
        </w:rPr>
        <w:t>Fabrication de colorants et d</w:t>
      </w:r>
      <w:r>
        <w:rPr>
          <w:rFonts w:ascii="Calibri" w:hAnsi="Calibri"/>
          <w:sz w:val="16"/>
          <w:szCs w:val="16"/>
        </w:rPr>
        <w:t>e pigments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65" type="#_x0000_t75" style="width:16.5pt;height:22.5pt" o:ole="">
            <v:imagedata r:id="rId18" o:title=""/>
          </v:shape>
          <w:control r:id="rId52" w:name="Case à cocher 124" w:shapeid="_x0000_i1265"/>
        </w:object>
      </w:r>
      <w:r>
        <w:rPr>
          <w:rFonts w:ascii="Calibri" w:hAnsi="Calibri"/>
          <w:sz w:val="16"/>
          <w:szCs w:val="16"/>
        </w:rPr>
        <w:t>Fabrication d’autres produits chimiques inorganiques de base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67" type="#_x0000_t75" style="width:16.5pt;height:22.5pt" o:ole="">
            <v:imagedata r:id="rId18" o:title=""/>
          </v:shape>
          <w:control r:id="rId53" w:name="Case à cocher 125" w:shapeid="_x0000_i1267"/>
        </w:object>
      </w:r>
      <w:r>
        <w:rPr>
          <w:rFonts w:ascii="Calibri" w:hAnsi="Calibri"/>
          <w:sz w:val="16"/>
          <w:szCs w:val="16"/>
        </w:rPr>
        <w:t>Fabrication d’autres produits chimiques organiques de base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69" type="#_x0000_t75" style="width:16.5pt;height:22.5pt" o:ole="">
            <v:imagedata r:id="rId18" o:title=""/>
          </v:shape>
          <w:control r:id="rId54" w:name="Case à cocher 126" w:shapeid="_x0000_i1269"/>
        </w:object>
      </w:r>
      <w:r>
        <w:rPr>
          <w:rFonts w:ascii="Calibri" w:hAnsi="Calibri"/>
          <w:sz w:val="16"/>
          <w:szCs w:val="16"/>
        </w:rPr>
        <w:t>Fabrication de produits azotés et d’engrais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71" type="#_x0000_t75" style="width:16.5pt;height:22.5pt" o:ole="">
            <v:imagedata r:id="rId18" o:title=""/>
          </v:shape>
          <w:control r:id="rId55" w:name="Case à cocher 127" w:shapeid="_x0000_i1271"/>
        </w:object>
      </w:r>
      <w:r>
        <w:rPr>
          <w:rFonts w:ascii="Calibri" w:hAnsi="Calibri"/>
          <w:sz w:val="16"/>
          <w:szCs w:val="16"/>
        </w:rPr>
        <w:t>Fabrication de matières plastiques de base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73" type="#_x0000_t75" style="width:16.5pt;height:22.5pt" o:ole="">
            <v:imagedata r:id="rId18" o:title=""/>
          </v:shape>
          <w:control r:id="rId56" w:name="Case à cocher 128" w:shapeid="_x0000_i1273"/>
        </w:object>
      </w:r>
      <w:r>
        <w:rPr>
          <w:rFonts w:ascii="Calibri" w:hAnsi="Calibri"/>
          <w:sz w:val="16"/>
          <w:szCs w:val="16"/>
        </w:rPr>
        <w:t>Fabrication de caoutchouc synthét</w:t>
      </w:r>
      <w:r>
        <w:rPr>
          <w:rFonts w:ascii="Calibri" w:hAnsi="Calibri"/>
          <w:sz w:val="16"/>
          <w:szCs w:val="16"/>
        </w:rPr>
        <w:t>ique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75" type="#_x0000_t75" style="width:16.5pt;height:22.5pt" o:ole="">
            <v:imagedata r:id="rId18" o:title=""/>
          </v:shape>
          <w:control r:id="rId57" w:name="Case à cocher 129" w:shapeid="_x0000_i1275"/>
        </w:object>
      </w:r>
      <w:r>
        <w:rPr>
          <w:rFonts w:ascii="Calibri" w:hAnsi="Calibri"/>
          <w:sz w:val="16"/>
          <w:szCs w:val="16"/>
        </w:rPr>
        <w:t>Fabrication de fibres artificielles ou synthétiques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77" type="#_x0000_t75" style="width:16.5pt;height:22.5pt" o:ole="">
            <v:imagedata r:id="rId18" o:title=""/>
          </v:shape>
          <w:control r:id="rId58" w:name="Case à cocher 130" w:shapeid="_x0000_i1277"/>
        </w:object>
      </w:r>
      <w:r>
        <w:rPr>
          <w:rFonts w:ascii="Calibri" w:hAnsi="Calibri"/>
          <w:sz w:val="16"/>
          <w:szCs w:val="16"/>
        </w:rPr>
        <w:t>Fabrication de produits pharmaceutiques de base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79" type="#_x0000_t75" style="width:16.5pt;height:22.5pt" o:ole="">
            <v:imagedata r:id="rId18" o:title=""/>
          </v:shape>
          <w:control r:id="rId59" w:name="Case à cocher 131" w:shapeid="_x0000_i1279"/>
        </w:object>
      </w:r>
      <w:r>
        <w:rPr>
          <w:rFonts w:ascii="Calibri" w:hAnsi="Calibri"/>
          <w:sz w:val="16"/>
          <w:szCs w:val="16"/>
        </w:rPr>
        <w:t>Fabrication de verre plat</w:t>
      </w:r>
    </w:p>
    <w:p w:rsidR="00542B6F" w:rsidRDefault="00CA2622">
      <w:pPr>
        <w:ind w:left="708" w:right="340"/>
        <w:jc w:val="both"/>
        <w:rPr>
          <w:rFonts w:ascii="Calibri" w:hAnsi="Calibri"/>
          <w:sz w:val="16"/>
          <w:szCs w:val="16"/>
        </w:rPr>
      </w:pPr>
      <w:r>
        <w:rPr>
          <w:rFonts w:ascii="Calibri" w:hAnsi="Calibri"/>
          <w:sz w:val="16"/>
          <w:szCs w:val="16"/>
        </w:rPr>
        <w:lastRenderedPageBreak/>
        <w:object w:dxaOrig="225" w:dyaOrig="225">
          <v:shape id="_x0000_i1281" type="#_x0000_t75" style="width:16.5pt;height:22.5pt" o:ole="">
            <v:imagedata r:id="rId18" o:title=""/>
          </v:shape>
          <w:control r:id="rId60" w:name="Case à cocher 132" w:shapeid="_x0000_i1281"/>
        </w:object>
      </w:r>
      <w:r>
        <w:rPr>
          <w:rFonts w:ascii="Calibri" w:hAnsi="Calibri"/>
          <w:sz w:val="16"/>
          <w:szCs w:val="16"/>
        </w:rPr>
        <w:t>Fabrication de verre creux</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83" type="#_x0000_t75" style="width:16.5pt;height:22.5pt" o:ole="">
            <v:imagedata r:id="rId18" o:title=""/>
          </v:shape>
          <w:control r:id="rId61" w:name="Case à cocher 133" w:shapeid="_x0000_i1283"/>
        </w:object>
      </w:r>
      <w:r>
        <w:rPr>
          <w:rFonts w:ascii="Calibri" w:hAnsi="Calibri"/>
          <w:sz w:val="16"/>
          <w:szCs w:val="16"/>
        </w:rPr>
        <w:t>Fabrication de fibres de verre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85" type="#_x0000_t75" style="width:16.5pt;height:22.5pt" o:ole="">
            <v:imagedata r:id="rId18" o:title=""/>
          </v:shape>
          <w:control r:id="rId62" w:name="Case à cocher 134" w:shapeid="_x0000_i1285"/>
        </w:object>
      </w:r>
      <w:r>
        <w:rPr>
          <w:rFonts w:ascii="Calibri" w:hAnsi="Calibri"/>
          <w:sz w:val="16"/>
          <w:szCs w:val="16"/>
        </w:rPr>
        <w:t xml:space="preserve">Fabrication et façonnage d'autres articles en verre, y </w:t>
      </w:r>
      <w:r>
        <w:rPr>
          <w:rFonts w:ascii="Calibri" w:hAnsi="Calibri"/>
          <w:sz w:val="16"/>
          <w:szCs w:val="16"/>
        </w:rPr>
        <w:t>compris verre technique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87" type="#_x0000_t75" style="width:16.5pt;height:22.5pt" o:ole="">
            <v:imagedata r:id="rId18" o:title=""/>
          </v:shape>
          <w:control r:id="rId63" w:name="Case à cocher 135" w:shapeid="_x0000_i1287"/>
        </w:object>
      </w:r>
      <w:r>
        <w:rPr>
          <w:rFonts w:ascii="Calibri" w:hAnsi="Calibri"/>
          <w:sz w:val="16"/>
          <w:szCs w:val="16"/>
        </w:rPr>
        <w:t>Fabrication de produits réfractaires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89" type="#_x0000_t75" style="width:16.5pt;height:22.5pt" o:ole="">
            <v:imagedata r:id="rId18" o:title=""/>
          </v:shape>
          <w:control r:id="rId64" w:name="Case à cocher 136" w:shapeid="_x0000_i1289"/>
        </w:object>
      </w:r>
      <w:r>
        <w:rPr>
          <w:rFonts w:ascii="Calibri" w:hAnsi="Calibri"/>
          <w:sz w:val="16"/>
          <w:szCs w:val="16"/>
        </w:rPr>
        <w:t>Fabrication de carreaux en céramique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91" type="#_x0000_t75" style="width:16.5pt;height:22.5pt" o:ole="">
            <v:imagedata r:id="rId18" o:title=""/>
          </v:shape>
          <w:control r:id="rId65" w:name="Case à cocher 137" w:shapeid="_x0000_i1291"/>
        </w:object>
      </w:r>
      <w:r>
        <w:rPr>
          <w:rFonts w:ascii="Calibri" w:hAnsi="Calibri"/>
          <w:sz w:val="16"/>
          <w:szCs w:val="16"/>
        </w:rPr>
        <w:t>Fabrication de briques, tuiles et produits de construction, en terre cuite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93" type="#_x0000_t75" style="width:16.5pt;height:22.5pt" o:ole="">
            <v:imagedata r:id="rId18" o:title=""/>
          </v:shape>
          <w:control r:id="rId66" w:name="Case à cocher 138" w:shapeid="_x0000_i1293"/>
        </w:object>
      </w:r>
      <w:r>
        <w:rPr>
          <w:rFonts w:ascii="Calibri" w:hAnsi="Calibri"/>
          <w:sz w:val="16"/>
          <w:szCs w:val="16"/>
        </w:rPr>
        <w:t>Fabrication d’articles céramiques à usage domestique ou ornemental</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95" type="#_x0000_t75" style="width:16.5pt;height:22.5pt" o:ole="">
            <v:imagedata r:id="rId18" o:title=""/>
          </v:shape>
          <w:control r:id="rId67" w:name="Case à cocher 139" w:shapeid="_x0000_i1295"/>
        </w:object>
      </w:r>
      <w:r>
        <w:rPr>
          <w:rFonts w:ascii="Calibri" w:hAnsi="Calibri"/>
          <w:sz w:val="16"/>
          <w:szCs w:val="16"/>
        </w:rPr>
        <w:t>Fabrication</w:t>
      </w:r>
      <w:r>
        <w:rPr>
          <w:rFonts w:ascii="Calibri" w:hAnsi="Calibri"/>
          <w:sz w:val="16"/>
          <w:szCs w:val="16"/>
        </w:rPr>
        <w:t xml:space="preserve"> d’appareils sanitaires en céramique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97" type="#_x0000_t75" style="width:16.5pt;height:22.5pt" o:ole="">
            <v:imagedata r:id="rId18" o:title=""/>
          </v:shape>
          <w:control r:id="rId68" w:name="Case à cocher 140" w:shapeid="_x0000_i1297"/>
        </w:object>
      </w:r>
      <w:r>
        <w:rPr>
          <w:rFonts w:ascii="Calibri" w:hAnsi="Calibri"/>
          <w:sz w:val="16"/>
          <w:szCs w:val="16"/>
        </w:rPr>
        <w:t>Fabrication de ciment</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299" type="#_x0000_t75" style="width:16.5pt;height:22.5pt" o:ole="">
            <v:imagedata r:id="rId18" o:title=""/>
          </v:shape>
          <w:control r:id="rId69" w:name="Case à cocher 141" w:shapeid="_x0000_i1299"/>
        </w:object>
      </w:r>
      <w:r>
        <w:rPr>
          <w:rFonts w:ascii="Calibri" w:hAnsi="Calibri"/>
          <w:sz w:val="16"/>
          <w:szCs w:val="16"/>
        </w:rPr>
        <w:t>Fabrication de chaux et plâtre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01" type="#_x0000_t75" style="width:16.5pt;height:22.5pt" o:ole="">
            <v:imagedata r:id="rId18" o:title=""/>
          </v:shape>
          <w:control r:id="rId70" w:name="Case à cocher 142" w:shapeid="_x0000_i1301"/>
        </w:object>
      </w:r>
      <w:r>
        <w:rPr>
          <w:rFonts w:ascii="Calibri" w:hAnsi="Calibri"/>
          <w:sz w:val="16"/>
          <w:szCs w:val="16"/>
        </w:rPr>
        <w:t>Fabrication d’autres produits minéraux non métalliques n.c.a.</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03" type="#_x0000_t75" style="width:16.5pt;height:22.5pt" o:ole="">
            <v:imagedata r:id="rId18" o:title=""/>
          </v:shape>
          <w:control r:id="rId71" w:name="Case à cocher 143" w:shapeid="_x0000_i1303"/>
        </w:object>
      </w:r>
      <w:r>
        <w:rPr>
          <w:rFonts w:ascii="Calibri" w:hAnsi="Calibri"/>
          <w:sz w:val="16"/>
          <w:szCs w:val="16"/>
        </w:rPr>
        <w:t>Sidérurgie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05" type="#_x0000_t75" style="width:16.5pt;height:22.5pt" o:ole="">
            <v:imagedata r:id="rId18" o:title=""/>
          </v:shape>
          <w:control r:id="rId72" w:name="Case à cocher 144" w:shapeid="_x0000_i1305"/>
        </w:object>
      </w:r>
      <w:r>
        <w:rPr>
          <w:rFonts w:ascii="Calibri" w:hAnsi="Calibri"/>
          <w:sz w:val="16"/>
          <w:szCs w:val="16"/>
        </w:rPr>
        <w:t>Fabrication de tubes, tuyaux, profilés creux et accessoires correspondants en acier</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07" type="#_x0000_t75" style="width:16.5pt;height:22.5pt" o:ole="">
            <v:imagedata r:id="rId18" o:title=""/>
          </v:shape>
          <w:control r:id="rId73" w:name="Case à cocher 145" w:shapeid="_x0000_i1307"/>
        </w:object>
      </w:r>
      <w:r>
        <w:rPr>
          <w:rFonts w:ascii="Calibri" w:hAnsi="Calibri"/>
          <w:sz w:val="16"/>
          <w:szCs w:val="16"/>
        </w:rPr>
        <w:t>Étirage à froid de barres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09" type="#_x0000_t75" style="width:16.5pt;height:22.5pt" o:ole="">
            <v:imagedata r:id="rId18" o:title=""/>
          </v:shape>
          <w:control r:id="rId74" w:name="Case à cocher 146" w:shapeid="_x0000_i1309"/>
        </w:object>
      </w:r>
      <w:r>
        <w:rPr>
          <w:rFonts w:ascii="Calibri" w:hAnsi="Calibri"/>
          <w:sz w:val="16"/>
          <w:szCs w:val="16"/>
        </w:rPr>
        <w:t>Métallurgie de l’aluminium</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11" type="#_x0000_t75" style="width:16.5pt;height:22.5pt" o:ole="">
            <v:imagedata r:id="rId18" o:title=""/>
          </v:shape>
          <w:control r:id="rId75" w:name="Case à cocher 147" w:shapeid="_x0000_i1311"/>
        </w:object>
      </w:r>
      <w:r>
        <w:rPr>
          <w:rFonts w:ascii="Calibri" w:hAnsi="Calibri"/>
          <w:sz w:val="16"/>
          <w:szCs w:val="16"/>
        </w:rPr>
        <w:t>Métallurgie du plomb, du zinc ou de l’étain</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13" type="#_x0000_t75" style="width:16.5pt;height:22.5pt" o:ole="">
            <v:imagedata r:id="rId18" o:title=""/>
          </v:shape>
          <w:control r:id="rId76" w:name="Case à cocher 148" w:shapeid="_x0000_i1313"/>
        </w:object>
      </w:r>
      <w:r>
        <w:rPr>
          <w:rFonts w:ascii="Calibri" w:hAnsi="Calibri"/>
          <w:sz w:val="16"/>
          <w:szCs w:val="16"/>
        </w:rPr>
        <w:t>Métallurgie du cuivre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15" type="#_x0000_t75" style="width:16.5pt;height:22.5pt" o:ole="">
            <v:imagedata r:id="rId18" o:title=""/>
          </v:shape>
          <w:control r:id="rId77" w:name="Case à cocher 149" w:shapeid="_x0000_i1315"/>
        </w:object>
      </w:r>
      <w:r>
        <w:rPr>
          <w:rFonts w:ascii="Calibri" w:hAnsi="Calibri"/>
          <w:sz w:val="16"/>
          <w:szCs w:val="16"/>
        </w:rPr>
        <w:t>Métallurgie des autres métaux non ferreux</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17" type="#_x0000_t75" style="width:16.5pt;height:22.5pt" o:ole="">
            <v:imagedata r:id="rId18" o:title=""/>
          </v:shape>
          <w:control r:id="rId78" w:name="Case à cocher 150" w:shapeid="_x0000_i1317"/>
        </w:object>
      </w:r>
      <w:r>
        <w:rPr>
          <w:rFonts w:ascii="Calibri" w:hAnsi="Calibri"/>
          <w:sz w:val="16"/>
          <w:szCs w:val="16"/>
        </w:rPr>
        <w:t>Élaboration et transformation de matières nucléaires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19" type="#_x0000_t75" style="width:16.5pt;height:22.5pt" o:ole="">
            <v:imagedata r:id="rId18" o:title=""/>
          </v:shape>
          <w:control r:id="rId79" w:name="Case à cocher 151" w:shapeid="_x0000_i1319"/>
        </w:object>
      </w:r>
      <w:r>
        <w:rPr>
          <w:rFonts w:ascii="Calibri" w:hAnsi="Calibri"/>
          <w:sz w:val="16"/>
          <w:szCs w:val="16"/>
        </w:rPr>
        <w:t>Fonderie de fonte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21" type="#_x0000_t75" style="width:16.5pt;height:22.5pt" o:ole="">
            <v:imagedata r:id="rId18" o:title=""/>
          </v:shape>
          <w:control r:id="rId80" w:name="Case à cocher 152" w:shapeid="_x0000_i1321"/>
        </w:object>
      </w:r>
      <w:r>
        <w:rPr>
          <w:rFonts w:ascii="Calibri" w:hAnsi="Calibri"/>
          <w:sz w:val="16"/>
          <w:szCs w:val="16"/>
        </w:rPr>
        <w:t xml:space="preserve">Kaolin et autres </w:t>
      </w:r>
      <w:r>
        <w:rPr>
          <w:rFonts w:ascii="Calibri" w:hAnsi="Calibri"/>
          <w:sz w:val="16"/>
          <w:szCs w:val="16"/>
        </w:rPr>
        <w:t>argiles kaoliniques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23" type="#_x0000_t75" style="width:16.5pt;height:22.5pt" o:ole="">
            <v:imagedata r:id="rId18" o:title=""/>
          </v:shape>
          <w:control r:id="rId81" w:name="Case à cocher 153" w:shapeid="_x0000_i132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25" type="#_x0000_t75" style="width:16.5pt;height:22.5pt" o:ole="">
            <v:imagedata r:id="rId18" o:title=""/>
          </v:shape>
          <w:control r:id="rId82" w:name="Case à cocher 154" w:shapeid="_x0000_i1325"/>
        </w:object>
      </w:r>
      <w:r>
        <w:rPr>
          <w:rFonts w:ascii="Calibri" w:hAnsi="Calibri"/>
          <w:sz w:val="16"/>
          <w:szCs w:val="16"/>
        </w:rPr>
        <w:t>Pommes de terre déshyd</w:t>
      </w:r>
      <w:r>
        <w:rPr>
          <w:rFonts w:ascii="Calibri" w:hAnsi="Calibri"/>
          <w:sz w:val="16"/>
          <w:szCs w:val="16"/>
        </w:rPr>
        <w:t>ratées sous forme de farine, de poudre, de flocons, de granulés ou de pellets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27" type="#_x0000_t75" style="width:16.5pt;height:22.5pt" o:ole="">
            <v:imagedata r:id="rId18" o:title=""/>
          </v:shape>
          <w:control r:id="rId83" w:name="Case à cocher 155" w:shapeid="_x0000_i1327"/>
        </w:object>
      </w:r>
      <w:r>
        <w:rPr>
          <w:rFonts w:ascii="Calibri" w:hAnsi="Calibri"/>
          <w:sz w:val="16"/>
          <w:szCs w:val="16"/>
        </w:rPr>
        <w:t>Concentré de tomates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29" type="#_x0000_t75" style="width:16.5pt;height:22.5pt" o:ole="">
            <v:imagedata r:id="rId18" o:title=""/>
          </v:shape>
          <w:control r:id="rId84" w:name="Case à cocher 156" w:shapeid="_x0000_i1329"/>
        </w:object>
      </w:r>
      <w:r>
        <w:rPr>
          <w:rFonts w:ascii="Calibri" w:hAnsi="Calibri"/>
          <w:sz w:val="16"/>
          <w:szCs w:val="16"/>
        </w:rPr>
        <w:t>Lait en poudre entier</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31" type="#_x0000_t75" style="width:16.5pt;height:22.5pt" o:ole="">
            <v:imagedata r:id="rId18" o:title=""/>
          </v:shape>
          <w:control r:id="rId85" w:name="Case à cocher 157" w:shapeid="_x0000_i1331"/>
        </w:object>
      </w:r>
      <w:r>
        <w:rPr>
          <w:rFonts w:ascii="Calibri" w:hAnsi="Calibri"/>
          <w:sz w:val="16"/>
          <w:szCs w:val="16"/>
        </w:rPr>
        <w:t>Lait écrémé en poudre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33" type="#_x0000_t75" style="width:16.5pt;height:22.5pt" o:ole="">
            <v:imagedata r:id="rId18" o:title=""/>
          </v:shape>
          <w:control r:id="rId86" w:name="Case à cocher 158" w:shapeid="_x0000_i1333"/>
        </w:object>
      </w:r>
      <w:r>
        <w:rPr>
          <w:rFonts w:ascii="Calibri" w:hAnsi="Calibri"/>
          <w:sz w:val="16"/>
          <w:szCs w:val="16"/>
        </w:rPr>
        <w:t>Caséines</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35" type="#_x0000_t75" style="width:16.5pt;height:22.5pt" o:ole="">
            <v:imagedata r:id="rId18" o:title=""/>
          </v:shape>
          <w:control r:id="rId87" w:name="Case à cocher 159" w:shapeid="_x0000_i1335"/>
        </w:object>
      </w:r>
      <w:r>
        <w:rPr>
          <w:rFonts w:ascii="Calibri" w:hAnsi="Calibri"/>
          <w:sz w:val="16"/>
          <w:szCs w:val="16"/>
        </w:rPr>
        <w:t>Lactose et sirop de lactose</w:t>
      </w:r>
    </w:p>
    <w:p w:rsidR="00542B6F" w:rsidRDefault="00CA2622">
      <w:pPr>
        <w:ind w:left="708" w:right="340"/>
        <w:jc w:val="both"/>
        <w:rPr>
          <w:rFonts w:ascii="Calibri" w:hAnsi="Calibri"/>
          <w:sz w:val="16"/>
          <w:szCs w:val="16"/>
        </w:rPr>
      </w:pPr>
      <w:r>
        <w:rPr>
          <w:rFonts w:ascii="Calibri" w:hAnsi="Calibri"/>
          <w:sz w:val="16"/>
          <w:szCs w:val="16"/>
        </w:rPr>
        <w:lastRenderedPageBreak/>
        <w:object w:dxaOrig="225" w:dyaOrig="225">
          <v:shape id="_x0000_i1337" type="#_x0000_t75" style="width:16.5pt;height:22.5pt" o:ole="">
            <v:imagedata r:id="rId18" o:title=""/>
          </v:shape>
          <w:control r:id="rId88" w:name="Case à cocher 160" w:shapeid="_x0000_i1337"/>
        </w:object>
      </w:r>
      <w:r>
        <w:rPr>
          <w:rFonts w:ascii="Calibri" w:hAnsi="Calibri"/>
          <w:sz w:val="16"/>
          <w:szCs w:val="16"/>
        </w:rPr>
        <w:t>Lactosérum et lactosérum modifié, en poudre, granulés ou sous une autr</w:t>
      </w:r>
      <w:r>
        <w:rPr>
          <w:rFonts w:ascii="Calibri" w:hAnsi="Calibri"/>
          <w:sz w:val="16"/>
          <w:szCs w:val="16"/>
        </w:rPr>
        <w:t>e forme solide, concentrés ou non, avec ou sans addition de sucre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39" type="#_x0000_t75" style="width:16.5pt;height:22.5pt" o:ole="">
            <v:imagedata r:id="rId18" o:title=""/>
          </v:shape>
          <w:control r:id="rId89" w:name="Case à cocher 161" w:shapeid="_x0000_i1339"/>
        </w:object>
      </w:r>
      <w:r>
        <w:rPr>
          <w:rFonts w:ascii="Calibri" w:hAnsi="Calibri"/>
          <w:sz w:val="16"/>
          <w:szCs w:val="16"/>
        </w:rPr>
        <w:t>Levures de panification</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41" type="#_x0000_t75" style="width:16.5pt;height:22.5pt" o:ole="">
            <v:imagedata r:id="rId18" o:title=""/>
          </v:shape>
          <w:control r:id="rId90" w:name="Case à cocher 162" w:shapeid="_x0000_i1341"/>
        </w:object>
      </w:r>
      <w:r>
        <w:rPr>
          <w:rFonts w:ascii="Calibri" w:hAnsi="Calibri"/>
          <w:sz w:val="16"/>
          <w:szCs w:val="16"/>
        </w:rPr>
        <w:t>Compositions vitrifiables, engobes et préparations similaires, des types utilisés pour la céramique, l’émaillerie ou la verrerie</w:t>
      </w:r>
    </w:p>
    <w:p w:rsidR="00542B6F" w:rsidRDefault="00CA2622">
      <w:pPr>
        <w:ind w:left="708" w:right="340"/>
        <w:jc w:val="both"/>
        <w:rPr>
          <w:rFonts w:ascii="Calibri" w:hAnsi="Calibri"/>
          <w:sz w:val="16"/>
          <w:szCs w:val="16"/>
        </w:rPr>
      </w:pPr>
      <w:r>
        <w:rPr>
          <w:rFonts w:ascii="Calibri" w:hAnsi="Calibri"/>
          <w:sz w:val="16"/>
          <w:szCs w:val="16"/>
        </w:rPr>
        <w:object w:dxaOrig="225" w:dyaOrig="225">
          <v:shape id="_x0000_i1343" type="#_x0000_t75" style="width:16.5pt;height:22.5pt" o:ole="">
            <v:imagedata r:id="rId18" o:title=""/>
          </v:shape>
          <w:control r:id="rId91" w:name="Case à cocher 163" w:shapeid="_x0000_i1343"/>
        </w:object>
      </w:r>
      <w:r>
        <w:rPr>
          <w:rFonts w:ascii="Calibri" w:hAnsi="Calibri"/>
          <w:sz w:val="16"/>
          <w:szCs w:val="16"/>
        </w:rPr>
        <w:t xml:space="preserve">Lustres liquides et préparations </w:t>
      </w:r>
      <w:r>
        <w:rPr>
          <w:rFonts w:ascii="Calibri" w:hAnsi="Calibri"/>
          <w:sz w:val="16"/>
          <w:szCs w:val="16"/>
        </w:rPr>
        <w:t>similaires, frittes et autres verres sous forme de poudre, de grenailles ou de flocons</w:t>
      </w:r>
    </w:p>
    <w:p w:rsidR="00542B6F" w:rsidRDefault="00CA2622">
      <w:pPr>
        <w:pStyle w:val="Corpsdetexte"/>
        <w:spacing w:after="0" w:line="240" w:lineRule="auto"/>
        <w:ind w:left="708"/>
        <w:jc w:val="both"/>
        <w:rPr>
          <w:rFonts w:ascii="Calibri" w:hAnsi="Calibri"/>
          <w:sz w:val="16"/>
          <w:szCs w:val="16"/>
        </w:rPr>
      </w:pPr>
      <w:r>
        <w:rPr>
          <w:rFonts w:ascii="Calibri" w:hAnsi="Calibri"/>
          <w:sz w:val="16"/>
          <w:szCs w:val="16"/>
        </w:rPr>
        <w:object w:dxaOrig="225" w:dyaOrig="225">
          <v:shape id="_x0000_i1345" type="#_x0000_t75" style="width:16.5pt;height:22.5pt" o:ole="">
            <v:imagedata r:id="rId18" o:title=""/>
          </v:shape>
          <w:control r:id="rId92" w:name="Case à cocher 164" w:shapeid="_x0000_i1345"/>
        </w:object>
      </w:r>
      <w:r>
        <w:rPr>
          <w:rFonts w:ascii="Calibri" w:hAnsi="Calibri"/>
          <w:sz w:val="16"/>
          <w:szCs w:val="16"/>
        </w:rPr>
        <w:t>Arbres de transmission, vilebrequins, arbres à cames et manivelles, etc.</w:t>
      </w:r>
    </w:p>
    <w:p w:rsidR="00542B6F" w:rsidRDefault="00542B6F">
      <w:pPr>
        <w:ind w:right="340"/>
        <w:jc w:val="both"/>
        <w:rPr>
          <w:rFonts w:ascii="Calibri" w:eastAsia="DejaVuSans" w:hAnsi="Calibri" w:cs="Marianne"/>
          <w:b/>
          <w:bCs/>
          <w:sz w:val="16"/>
          <w:szCs w:val="16"/>
        </w:rPr>
      </w:pPr>
    </w:p>
    <w:p w:rsidR="00542B6F" w:rsidRDefault="00CA2622">
      <w:pPr>
        <w:jc w:val="both"/>
        <w:rPr>
          <w:rFonts w:ascii="Calibri" w:hAnsi="Calibri"/>
        </w:rPr>
      </w:pPr>
      <w:r>
        <w:rPr>
          <w:rFonts w:ascii="Calibri" w:hAnsi="Calibri"/>
          <w:color w:val="000000"/>
          <w:sz w:val="16"/>
          <w:szCs w:val="16"/>
        </w:rPr>
        <w:t xml:space="preserve">Choix d’option de comparaison avec l’excédent brut d’exploitation gaz et électricité de la </w:t>
      </w:r>
      <w:r>
        <w:rPr>
          <w:rFonts w:ascii="Calibri" w:hAnsi="Calibri"/>
          <w:color w:val="000000"/>
          <w:sz w:val="16"/>
          <w:szCs w:val="16"/>
        </w:rPr>
        <w:t>période de référence (cocher obligatoirement l’une des deux options) :</w:t>
      </w:r>
    </w:p>
    <w:p w:rsidR="00542B6F" w:rsidRDefault="00542B6F">
      <w:pPr>
        <w:ind w:right="340"/>
        <w:jc w:val="both"/>
        <w:rPr>
          <w:rFonts w:ascii="Calibri" w:hAnsi="Calibri"/>
          <w:color w:val="000000"/>
          <w:sz w:val="16"/>
          <w:szCs w:val="16"/>
        </w:rPr>
      </w:pPr>
    </w:p>
    <w:p w:rsidR="00542B6F" w:rsidRDefault="00CA2622">
      <w:pPr>
        <w:pStyle w:val="Corpsdetexte"/>
        <w:spacing w:after="0" w:line="240" w:lineRule="auto"/>
        <w:ind w:left="708"/>
        <w:jc w:val="both"/>
      </w:pPr>
      <w:r>
        <w:rPr>
          <w:rFonts w:ascii="Calibri" w:hAnsi="Calibri"/>
          <w:sz w:val="16"/>
          <w:szCs w:val="16"/>
        </w:rPr>
        <w:object w:dxaOrig="225" w:dyaOrig="225">
          <v:shape id="_x0000_i1347" type="#_x0000_t75" style="width:16.5pt;height:22.5pt" o:ole="">
            <v:imagedata r:id="rId18" o:title=""/>
          </v:shape>
          <w:control r:id="rId93" w:name="Case à cocher 165" w:shapeid="_x0000_i1347"/>
        </w:object>
      </w:r>
      <w:r>
        <w:rPr>
          <w:rFonts w:ascii="Calibri" w:hAnsi="Calibri"/>
          <w:sz w:val="16"/>
          <w:szCs w:val="16"/>
        </w:rPr>
        <w:t>Option « forfait » : l’excédent brut d’exploitation gaz et électricité de la période de référence (2021) est rapporté sur deux mois (montant de l’année 2021 divisé par 6),</w:t>
      </w:r>
    </w:p>
    <w:p w:rsidR="00542B6F" w:rsidRDefault="00CA2622">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v:shape id="_x0000_i1349" type="#_x0000_t75" style="width:16.5pt;height:22.5pt" o:ole="">
            <v:imagedata r:id="rId18" o:title=""/>
          </v:shape>
          <w:control r:id="rId94" w:name="Case à cocher 166" w:shapeid="_x0000_i1349"/>
        </w:object>
      </w:r>
      <w:r>
        <w:rPr>
          <w:rFonts w:ascii="Calibri" w:eastAsia="DejaVuSans" w:hAnsi="Calibri" w:cs="Calibri"/>
          <w:color w:val="000000"/>
          <w:sz w:val="16"/>
          <w:szCs w:val="16"/>
        </w:rPr>
        <w:t>Option « r</w:t>
      </w:r>
      <w:r>
        <w:rPr>
          <w:rFonts w:ascii="Calibri" w:eastAsia="DejaVuSans" w:hAnsi="Calibri" w:cs="Calibri"/>
          <w:color w:val="000000"/>
          <w:sz w:val="16"/>
          <w:szCs w:val="16"/>
        </w:rPr>
        <w:t>éel » : l’excédent brut d’exploitation gaz et électricité est calculé sur les mêmes mois de la période de référence que celui de la période éligible.</w:t>
      </w:r>
    </w:p>
    <w:p w:rsidR="00542B6F" w:rsidRDefault="00542B6F">
      <w:pPr>
        <w:pStyle w:val="Corpsdetexte"/>
        <w:spacing w:after="0" w:line="240" w:lineRule="auto"/>
        <w:ind w:left="708"/>
        <w:jc w:val="both"/>
        <w:rPr>
          <w:rFonts w:ascii="Calibri" w:eastAsia="DejaVuSans" w:hAnsi="Calibri" w:cs="Calibri"/>
          <w:color w:val="000000"/>
          <w:sz w:val="16"/>
          <w:szCs w:val="16"/>
        </w:rPr>
      </w:pPr>
    </w:p>
    <w:p w:rsidR="00542B6F" w:rsidRDefault="00CA2622">
      <w:pPr>
        <w:ind w:right="340"/>
        <w:jc w:val="both"/>
        <w:rPr>
          <w:rFonts w:ascii="Calibri" w:hAnsi="Calibri"/>
        </w:rPr>
      </w:pPr>
      <w:r>
        <w:rPr>
          <w:rFonts w:ascii="Calibri" w:eastAsia="DejaVuSans" w:hAnsi="Calibri" w:cs="Marianne"/>
          <w:b/>
          <w:bCs/>
          <w:sz w:val="16"/>
          <w:szCs w:val="16"/>
        </w:rPr>
        <w:t>Informations portant sur l’éligibilité de l’entreprise :</w:t>
      </w:r>
    </w:p>
    <w:p w:rsidR="00542B6F" w:rsidRDefault="00542B6F">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542B6F">
        <w:tc>
          <w:tcPr>
            <w:tcW w:w="4600" w:type="dxa"/>
            <w:tcBorders>
              <w:top w:val="single" w:sz="2" w:space="0" w:color="000000"/>
              <w:left w:val="single" w:sz="2" w:space="0" w:color="000000"/>
              <w:bottom w:val="single" w:sz="2" w:space="0" w:color="000000"/>
            </w:tcBorders>
          </w:tcPr>
          <w:p w:rsidR="00542B6F" w:rsidRDefault="00CA2622">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rsidR="00542B6F" w:rsidRDefault="00CA2622">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542B6F" w:rsidRDefault="00CA2622">
            <w:pPr>
              <w:pStyle w:val="Contenudetableau"/>
              <w:spacing w:before="6" w:after="6"/>
              <w:ind w:right="340"/>
              <w:jc w:val="center"/>
              <w:rPr>
                <w:rFonts w:ascii="Calibri" w:hAnsi="Calibri"/>
                <w:sz w:val="16"/>
                <w:szCs w:val="16"/>
              </w:rPr>
            </w:pPr>
            <w:r>
              <w:rPr>
                <w:rFonts w:ascii="Calibri" w:hAnsi="Calibri"/>
                <w:sz w:val="16"/>
                <w:szCs w:val="16"/>
              </w:rPr>
              <w:t>(en euros)</w:t>
            </w:r>
          </w:p>
        </w:tc>
      </w:tr>
      <w:tr w:rsidR="00542B6F">
        <w:tc>
          <w:tcPr>
            <w:tcW w:w="4600" w:type="dxa"/>
            <w:tcBorders>
              <w:left w:val="single" w:sz="2" w:space="0" w:color="000000"/>
              <w:bottom w:val="single" w:sz="2" w:space="0" w:color="000000"/>
            </w:tcBorders>
          </w:tcPr>
          <w:p w:rsidR="00542B6F" w:rsidRDefault="00CA2622">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51" type="#_x0000_t75" style="width:88.5pt;height:16.5pt" o:ole="">
                  <v:imagedata r:id="rId95" o:title=""/>
                </v:shape>
                <w:control r:id="rId96" w:name="Zone de texte 4" w:shapeid="_x0000_i1351"/>
              </w:object>
            </w:r>
          </w:p>
        </w:tc>
      </w:tr>
      <w:tr w:rsidR="00542B6F">
        <w:tc>
          <w:tcPr>
            <w:tcW w:w="4600" w:type="dxa"/>
            <w:tcBorders>
              <w:left w:val="single" w:sz="2" w:space="0" w:color="000000"/>
              <w:bottom w:val="single" w:sz="2" w:space="0" w:color="000000"/>
            </w:tcBorders>
          </w:tcPr>
          <w:p w:rsidR="00542B6F" w:rsidRDefault="00CA2622">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53" type="#_x0000_t75" style="width:88.5pt;height:16.5pt" o:ole="">
                  <v:imagedata r:id="rId95" o:title=""/>
                </v:shape>
                <w:control r:id="rId97" w:name="Zone de texte 3" w:shapeid="_x0000_i1353"/>
              </w:object>
            </w:r>
          </w:p>
        </w:tc>
      </w:tr>
      <w:tr w:rsidR="00542B6F">
        <w:trPr>
          <w:trHeight w:val="355"/>
        </w:trPr>
        <w:tc>
          <w:tcPr>
            <w:tcW w:w="4600" w:type="dxa"/>
            <w:tcBorders>
              <w:left w:val="single" w:sz="2" w:space="0" w:color="000000"/>
              <w:bottom w:val="single" w:sz="2" w:space="0" w:color="000000"/>
            </w:tcBorders>
          </w:tcPr>
          <w:p w:rsidR="00542B6F" w:rsidRDefault="00CA2622">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55" type="#_x0000_t75" style="width:88.5pt;height:16.5pt" o:ole="">
                  <v:imagedata r:id="rId95" o:title=""/>
                </v:shape>
                <w:control r:id="rId98" w:name="unnamed7" w:shapeid="_x0000_i1355"/>
              </w:object>
            </w:r>
          </w:p>
        </w:tc>
      </w:tr>
      <w:tr w:rsidR="00542B6F">
        <w:trPr>
          <w:trHeight w:val="355"/>
        </w:trPr>
        <w:tc>
          <w:tcPr>
            <w:tcW w:w="4600" w:type="dxa"/>
            <w:tcBorders>
              <w:left w:val="single" w:sz="2" w:space="0" w:color="000000"/>
              <w:bottom w:val="single" w:sz="2" w:space="0" w:color="000000"/>
            </w:tcBorders>
          </w:tcPr>
          <w:p w:rsidR="00542B6F" w:rsidRDefault="00CA2622">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57" type="#_x0000_t75" style="width:88.5pt;height:16.5pt" o:ole="">
                  <v:imagedata r:id="rId95" o:title=""/>
                </v:shape>
                <w:control r:id="rId99" w:name="unnamed71" w:shapeid="_x0000_i1357"/>
              </w:object>
            </w:r>
          </w:p>
        </w:tc>
      </w:tr>
      <w:tr w:rsidR="00542B6F">
        <w:tc>
          <w:tcPr>
            <w:tcW w:w="4600" w:type="dxa"/>
            <w:tcBorders>
              <w:top w:val="single" w:sz="2" w:space="0" w:color="000000"/>
              <w:left w:val="single" w:sz="2" w:space="0" w:color="000000"/>
            </w:tcBorders>
          </w:tcPr>
          <w:p w:rsidR="00542B6F" w:rsidRDefault="00CA2622">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59" type="#_x0000_t75" style="width:88.5pt;height:16.5pt" o:ole="">
                  <v:imagedata r:id="rId95" o:title=""/>
                </v:shape>
                <w:control r:id="rId100" w:name="Zone de texte 31" w:shapeid="_x0000_i1359"/>
              </w:object>
            </w:r>
          </w:p>
        </w:tc>
      </w:tr>
    </w:tbl>
    <w:p w:rsidR="00542B6F" w:rsidRDefault="00542B6F">
      <w:pPr>
        <w:ind w:right="340"/>
        <w:jc w:val="both"/>
        <w:rPr>
          <w:rFonts w:ascii="Calibri" w:eastAsia="DejaVuSans" w:hAnsi="Calibri" w:cs="Marianne"/>
          <w:b/>
          <w:bCs/>
          <w:sz w:val="16"/>
          <w:szCs w:val="16"/>
        </w:rPr>
      </w:pPr>
    </w:p>
    <w:p w:rsidR="00542B6F" w:rsidRDefault="00CA2622">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rsidR="00542B6F" w:rsidRDefault="00542B6F">
      <w:pPr>
        <w:autoSpaceDE w:val="0"/>
        <w:ind w:right="340"/>
        <w:jc w:val="both"/>
        <w:rPr>
          <w:rFonts w:ascii="Calibri" w:eastAsia="DejaVuSans" w:hAnsi="Calibri" w:cs="Marianne"/>
          <w:b/>
          <w:bCs/>
          <w:sz w:val="16"/>
          <w:szCs w:val="16"/>
        </w:rPr>
      </w:pPr>
    </w:p>
    <w:p w:rsidR="00542B6F" w:rsidRDefault="00542B6F">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542B6F">
        <w:tc>
          <w:tcPr>
            <w:tcW w:w="3628" w:type="dxa"/>
            <w:tcBorders>
              <w:top w:val="single" w:sz="2" w:space="0" w:color="000000"/>
              <w:left w:val="single" w:sz="2" w:space="0" w:color="000000"/>
              <w:bottom w:val="single" w:sz="2" w:space="0" w:color="000000"/>
            </w:tcBorders>
          </w:tcPr>
          <w:p w:rsidR="00542B6F" w:rsidRDefault="00CA2622">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rsidR="00542B6F" w:rsidRDefault="00CA2622">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542B6F" w:rsidRDefault="00CA2622">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542B6F">
        <w:tc>
          <w:tcPr>
            <w:tcW w:w="3628" w:type="dxa"/>
            <w:tcBorders>
              <w:left w:val="single" w:sz="2" w:space="0" w:color="000000"/>
              <w:bottom w:val="single" w:sz="2" w:space="0" w:color="000000"/>
            </w:tcBorders>
          </w:tcPr>
          <w:p w:rsidR="00542B6F" w:rsidRDefault="00CA2622">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61" type="#_x0000_t75" style="width:88.5pt;height:16.5pt" o:ole="">
                  <v:imagedata r:id="rId95" o:title=""/>
                </v:shape>
                <w:control r:id="rId101" w:name="Zone de texte 5" w:shapeid="_x0000_i1361"/>
              </w:object>
            </w:r>
          </w:p>
        </w:tc>
      </w:tr>
      <w:tr w:rsidR="00542B6F">
        <w:trPr>
          <w:trHeight w:val="57"/>
        </w:trPr>
        <w:tc>
          <w:tcPr>
            <w:tcW w:w="3628" w:type="dxa"/>
            <w:tcBorders>
              <w:left w:val="single" w:sz="2" w:space="0" w:color="000000"/>
              <w:bottom w:val="single" w:sz="2" w:space="0" w:color="000000"/>
            </w:tcBorders>
          </w:tcPr>
          <w:p w:rsidR="00542B6F" w:rsidRDefault="00CA2622">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EBE gaz et électricité sur la période bimensuelle 2021 choisie (« réel » = </w:t>
            </w:r>
            <w:r>
              <w:rPr>
                <w:rFonts w:ascii="Calibri" w:eastAsia="DejaVuSans" w:hAnsi="Calibri" w:cs="DejaVuSans"/>
                <w:color w:val="000000"/>
                <w:sz w:val="16"/>
                <w:szCs w:val="16"/>
                <w:shd w:val="clear" w:color="auto" w:fill="FFFFFF"/>
              </w:rPr>
              <w:t>juillet-ao</w:t>
            </w:r>
            <w:r>
              <w:rPr>
                <w:rFonts w:ascii="Calibri" w:eastAsia="DejaVuSans" w:hAnsi="Calibri" w:cs="DejaVuSans"/>
                <w:color w:val="000000"/>
                <w:sz w:val="16"/>
                <w:szCs w:val="16"/>
                <w:shd w:val="clear" w:color="auto" w:fill="FFFFFF"/>
              </w:rPr>
              <w:t>ût</w:t>
            </w:r>
            <w:r>
              <w:rPr>
                <w:rFonts w:ascii="Calibri" w:eastAsia="DejaVuSans" w:hAnsi="Calibri" w:cs="DejaVuSans"/>
                <w:color w:val="000000"/>
                <w:sz w:val="16"/>
                <w:szCs w:val="16"/>
                <w:shd w:val="clear" w:color="auto" w:fill="FFFFFF"/>
              </w:rPr>
              <w:t xml:space="preserve"> 2021 ou « forfait » = montant annuel 2021, ramené sur 2 mois) (en euro)</w:t>
            </w:r>
          </w:p>
        </w:tc>
        <w:tc>
          <w:tcPr>
            <w:tcW w:w="6010"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63" type="#_x0000_t75" style="width:88.5pt;height:16.5pt" o:ole="">
                  <v:imagedata r:id="rId95" o:title=""/>
                </v:shape>
                <w:control r:id="rId102" w:name="Zone de texte 10" w:shapeid="_x0000_i1363"/>
              </w:object>
            </w:r>
          </w:p>
        </w:tc>
      </w:tr>
      <w:tr w:rsidR="00542B6F">
        <w:trPr>
          <w:trHeight w:val="57"/>
        </w:trPr>
        <w:tc>
          <w:tcPr>
            <w:tcW w:w="3628" w:type="dxa"/>
            <w:tcBorders>
              <w:left w:val="single" w:sz="2" w:space="0" w:color="2A6099"/>
              <w:bottom w:val="single" w:sz="2" w:space="0" w:color="2A6099"/>
            </w:tcBorders>
          </w:tcPr>
          <w:p w:rsidR="00542B6F" w:rsidRDefault="00CA2622">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Evolution de l’EBE gaz et électricité de </w:t>
            </w:r>
            <w:r>
              <w:rPr>
                <w:rFonts w:ascii="Calibri" w:eastAsia="DejaVuSans" w:hAnsi="Calibri" w:cs="DejaVuSans"/>
                <w:color w:val="000000"/>
                <w:sz w:val="16"/>
                <w:szCs w:val="16"/>
                <w:shd w:val="clear" w:color="auto" w:fill="FFFFFF"/>
              </w:rPr>
              <w:t>juillet-août</w:t>
            </w:r>
            <w:r>
              <w:rPr>
                <w:rFonts w:ascii="Calibri" w:eastAsia="DejaVuSans" w:hAnsi="Calibri" w:cs="DejaVuSans"/>
                <w:color w:val="000000"/>
                <w:sz w:val="16"/>
                <w:szCs w:val="16"/>
                <w:shd w:val="clear" w:color="auto" w:fill="FFFFFF"/>
              </w:rPr>
              <w:t xml:space="preserve"> 2023 par rapport à 2021 (en pourcentage)</w:t>
            </w:r>
          </w:p>
        </w:tc>
        <w:tc>
          <w:tcPr>
            <w:tcW w:w="6010"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65" type="#_x0000_t75" style="width:88.5pt;height:16.5pt" o:ole="">
                  <v:imagedata r:id="rId95" o:title=""/>
                </v:shape>
                <w:control r:id="rId103" w:name="Zone de texte 131" w:shapeid="_x0000_i1365"/>
              </w:object>
            </w:r>
            <w:r>
              <w:rPr>
                <w:rFonts w:ascii="Calibri" w:hAnsi="Calibri"/>
                <w:sz w:val="16"/>
                <w:szCs w:val="16"/>
              </w:rPr>
              <w:t> %</w:t>
            </w:r>
          </w:p>
        </w:tc>
      </w:tr>
    </w:tbl>
    <w:p w:rsidR="00542B6F" w:rsidRDefault="00542B6F">
      <w:pPr>
        <w:ind w:right="340"/>
        <w:jc w:val="both"/>
        <w:rPr>
          <w:rFonts w:ascii="Calibri" w:eastAsia="DejaVuSans" w:hAnsi="Calibri" w:cs="Marianne"/>
          <w:b/>
          <w:bCs/>
          <w:sz w:val="16"/>
          <w:szCs w:val="16"/>
        </w:rPr>
      </w:pPr>
    </w:p>
    <w:p w:rsidR="00542B6F" w:rsidRDefault="00542B6F">
      <w:pPr>
        <w:ind w:right="340"/>
        <w:jc w:val="both"/>
        <w:rPr>
          <w:rFonts w:ascii="Calibri" w:eastAsia="DejaVuSans" w:hAnsi="Calibri" w:cs="Marianne"/>
          <w:b/>
          <w:bCs/>
          <w:sz w:val="16"/>
          <w:szCs w:val="16"/>
        </w:rPr>
      </w:pPr>
    </w:p>
    <w:p w:rsidR="00542B6F" w:rsidRDefault="00CA2622">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rsidR="00542B6F" w:rsidRDefault="00CA2622">
      <w:pPr>
        <w:ind w:right="340"/>
        <w:jc w:val="both"/>
        <w:rPr>
          <w:rFonts w:ascii="Calibri" w:eastAsia="DejaVuSans" w:hAnsi="Calibri" w:cs="Marianne"/>
          <w:b/>
          <w:bCs/>
          <w:sz w:val="16"/>
          <w:szCs w:val="16"/>
        </w:rPr>
      </w:pPr>
      <w:r>
        <w:rPr>
          <w:rFonts w:ascii="Calibri" w:eastAsia="DejaVuSans" w:hAnsi="Calibri" w:cs="Marianne"/>
          <w:b/>
          <w:bCs/>
          <w:sz w:val="16"/>
          <w:szCs w:val="16"/>
        </w:rPr>
        <w:t xml:space="preserve"> </w:t>
      </w: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542B6F">
        <w:tc>
          <w:tcPr>
            <w:tcW w:w="5209" w:type="dxa"/>
            <w:tcBorders>
              <w:top w:val="single" w:sz="2" w:space="0" w:color="000000"/>
              <w:left w:val="single" w:sz="2" w:space="0" w:color="000000"/>
              <w:bottom w:val="single" w:sz="2" w:space="0" w:color="000000"/>
            </w:tcBorders>
          </w:tcPr>
          <w:p w:rsidR="00542B6F" w:rsidRDefault="00CA2622">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rsidR="00542B6F" w:rsidRDefault="00CA2622">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542B6F" w:rsidRDefault="00CA2622">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w:t>
            </w:r>
          </w:p>
        </w:tc>
      </w:tr>
      <w:tr w:rsidR="00542B6F">
        <w:tc>
          <w:tcPr>
            <w:tcW w:w="5209" w:type="dxa"/>
            <w:tcBorders>
              <w:left w:val="single" w:sz="2" w:space="0" w:color="000000"/>
              <w:bottom w:val="single" w:sz="2" w:space="0" w:color="000000"/>
            </w:tcBorders>
          </w:tcPr>
          <w:p w:rsidR="00542B6F" w:rsidRDefault="00CA2622">
            <w:pPr>
              <w:spacing w:before="6" w:after="6"/>
              <w:ind w:right="340"/>
              <w:rPr>
                <w:rFonts w:ascii="Calibri" w:hAnsi="Calibri"/>
                <w:sz w:val="16"/>
                <w:szCs w:val="16"/>
              </w:rPr>
            </w:pPr>
            <w:r>
              <w:rPr>
                <w:rFonts w:ascii="Calibri" w:eastAsia="DejaVuSans" w:hAnsi="Calibri" w:cs="Calibri"/>
                <w:sz w:val="16"/>
                <w:szCs w:val="16"/>
              </w:rPr>
              <w:lastRenderedPageBreak/>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67" type="#_x0000_t75" style="width:88.5pt;height:16.5pt" o:ole="">
                  <v:imagedata r:id="rId95" o:title=""/>
                </v:shape>
                <w:control r:id="rId104" w:name="Zone de texte 32" w:shapeid="_x0000_i1367"/>
              </w:object>
            </w:r>
          </w:p>
        </w:tc>
      </w:tr>
      <w:tr w:rsidR="00542B6F">
        <w:tc>
          <w:tcPr>
            <w:tcW w:w="5209" w:type="dxa"/>
            <w:tcBorders>
              <w:left w:val="single" w:sz="2" w:space="0" w:color="000000"/>
              <w:bottom w:val="single" w:sz="2" w:space="0" w:color="000000"/>
            </w:tcBorders>
          </w:tcPr>
          <w:p w:rsidR="00542B6F" w:rsidRDefault="00CA2622">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69" type="#_x0000_t75" style="width:88.5pt;height:16.5pt" o:ole="">
                  <v:imagedata r:id="rId95" o:title=""/>
                </v:shape>
                <w:control r:id="rId105" w:name="unnamed72" w:shapeid="_x0000_i1369"/>
              </w:object>
            </w:r>
          </w:p>
        </w:tc>
      </w:tr>
      <w:tr w:rsidR="00542B6F">
        <w:tc>
          <w:tcPr>
            <w:tcW w:w="5209" w:type="dxa"/>
            <w:tcBorders>
              <w:left w:val="single" w:sz="2" w:space="0" w:color="000000"/>
              <w:bottom w:val="single" w:sz="2" w:space="0" w:color="000000"/>
            </w:tcBorders>
          </w:tcPr>
          <w:p w:rsidR="00542B6F" w:rsidRDefault="00CA2622">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71" type="#_x0000_t75" style="width:88.5pt;height:16.5pt" o:ole="">
                  <v:imagedata r:id="rId95" o:title=""/>
                </v:shape>
                <w:control r:id="rId106" w:name="unnamed73" w:shapeid="_x0000_i1371"/>
              </w:object>
            </w:r>
          </w:p>
        </w:tc>
      </w:tr>
      <w:tr w:rsidR="00542B6F">
        <w:tc>
          <w:tcPr>
            <w:tcW w:w="5209" w:type="dxa"/>
            <w:tcBorders>
              <w:left w:val="single" w:sz="2" w:space="0" w:color="000000"/>
              <w:bottom w:val="single" w:sz="2" w:space="0" w:color="000000"/>
            </w:tcBorders>
          </w:tcPr>
          <w:p w:rsidR="00542B6F" w:rsidRDefault="00CA2622">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73" type="#_x0000_t75" style="width:88.5pt;height:16.5pt" o:ole="">
                  <v:imagedata r:id="rId95" o:title=""/>
                </v:shape>
                <w:control r:id="rId107" w:name="unnamed74" w:shapeid="_x0000_i1373"/>
              </w:object>
            </w:r>
          </w:p>
        </w:tc>
      </w:tr>
    </w:tbl>
    <w:p w:rsidR="00542B6F" w:rsidRDefault="00542B6F">
      <w:pPr>
        <w:pStyle w:val="Corpsdetexte"/>
        <w:spacing w:after="0"/>
        <w:ind w:right="340"/>
        <w:jc w:val="both"/>
        <w:rPr>
          <w:rFonts w:ascii="Calibri" w:eastAsia="DejaVuSans" w:hAnsi="Calibri" w:cs="Marianne"/>
          <w:b/>
          <w:bCs/>
          <w:sz w:val="16"/>
          <w:szCs w:val="16"/>
        </w:rPr>
      </w:pPr>
    </w:p>
    <w:p w:rsidR="00542B6F" w:rsidRDefault="00CA2622">
      <w:pPr>
        <w:ind w:right="340"/>
        <w:jc w:val="both"/>
        <w:rPr>
          <w:rFonts w:eastAsia="DejaVuSans" w:cs="Marianne"/>
          <w:b/>
          <w:bCs/>
          <w:sz w:val="16"/>
          <w:szCs w:val="16"/>
        </w:rPr>
      </w:pPr>
      <w:r>
        <w:br w:type="page"/>
      </w:r>
    </w:p>
    <w:p w:rsidR="00542B6F" w:rsidRDefault="00CA2622">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w:t>
      </w:r>
      <w:r>
        <w:rPr>
          <w:rFonts w:ascii="Calibri" w:eastAsia="DejaVuSans" w:hAnsi="Calibri" w:cs="Marianne"/>
          <w:b/>
          <w:bCs/>
          <w:sz w:val="16"/>
          <w:szCs w:val="16"/>
        </w:rPr>
        <w:t>des coûts éligibles :</w:t>
      </w:r>
    </w:p>
    <w:p w:rsidR="00542B6F" w:rsidRDefault="00542B6F">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542B6F">
        <w:tc>
          <w:tcPr>
            <w:tcW w:w="3914" w:type="dxa"/>
            <w:tcBorders>
              <w:top w:val="single" w:sz="2" w:space="0" w:color="000000"/>
              <w:left w:val="single" w:sz="2" w:space="0" w:color="000000"/>
              <w:bottom w:val="single" w:sz="2" w:space="0" w:color="000000"/>
            </w:tcBorders>
          </w:tcPr>
          <w:p w:rsidR="00542B6F" w:rsidRDefault="00CA2622">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rsidR="00542B6F" w:rsidRDefault="00CA2622">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Juillet</w:t>
            </w:r>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rsidR="00542B6F" w:rsidRDefault="00CA2622">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Août</w:t>
            </w:r>
            <w:r>
              <w:rPr>
                <w:rFonts w:ascii="Calibri" w:eastAsia="DejaVuSans" w:hAnsi="Calibri" w:cs="Marianne"/>
                <w:b/>
                <w:bCs/>
                <w:sz w:val="16"/>
                <w:szCs w:val="16"/>
              </w:rPr>
              <w:t xml:space="preserve"> 2023</w:t>
            </w:r>
          </w:p>
        </w:tc>
      </w:tr>
      <w:tr w:rsidR="00542B6F">
        <w:tc>
          <w:tcPr>
            <w:tcW w:w="3914" w:type="dxa"/>
            <w:tcBorders>
              <w:left w:val="single" w:sz="2" w:space="0" w:color="000000"/>
              <w:bottom w:val="single" w:sz="2" w:space="0" w:color="000000"/>
            </w:tcBorders>
          </w:tcPr>
          <w:p w:rsidR="00542B6F" w:rsidRDefault="00CA262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75" type="#_x0000_t75" style="width:88.5pt;height:16.5pt" o:ole="">
                  <v:imagedata r:id="rId95" o:title=""/>
                </v:shape>
                <w:control r:id="rId108" w:name="Zone de texte 33" w:shapeid="_x0000_i1375"/>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77" type="#_x0000_t75" style="width:88.5pt;height:16.5pt" o:ole="">
                  <v:imagedata r:id="rId95" o:title=""/>
                </v:shape>
                <w:control r:id="rId109" w:name="Zone de texte 34" w:shapeid="_x0000_i1377"/>
              </w:object>
            </w:r>
          </w:p>
        </w:tc>
      </w:tr>
      <w:tr w:rsidR="00542B6F">
        <w:tc>
          <w:tcPr>
            <w:tcW w:w="3914" w:type="dxa"/>
            <w:tcBorders>
              <w:left w:val="single" w:sz="2" w:space="0" w:color="000000"/>
              <w:bottom w:val="single" w:sz="2" w:space="0" w:color="000000"/>
            </w:tcBorders>
          </w:tcPr>
          <w:p w:rsidR="00542B6F" w:rsidRDefault="00CA2622">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79" type="#_x0000_t75" style="width:88.5pt;height:16.5pt" o:ole="">
                  <v:imagedata r:id="rId95" o:title=""/>
                </v:shape>
                <w:control r:id="rId110" w:name="unnamed75" w:shapeid="_x0000_i1379"/>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81" type="#_x0000_t75" style="width:88.5pt;height:16.5pt" o:ole="">
                  <v:imagedata r:id="rId95" o:title=""/>
                </v:shape>
                <w:control r:id="rId111" w:name="unnamed76" w:shapeid="_x0000_i1381"/>
              </w:object>
            </w:r>
          </w:p>
        </w:tc>
      </w:tr>
      <w:tr w:rsidR="00542B6F">
        <w:tc>
          <w:tcPr>
            <w:tcW w:w="3914" w:type="dxa"/>
            <w:tcBorders>
              <w:left w:val="single" w:sz="2" w:space="0" w:color="000000"/>
              <w:bottom w:val="single" w:sz="2" w:space="0" w:color="000000"/>
            </w:tcBorders>
          </w:tcPr>
          <w:p w:rsidR="00542B6F" w:rsidRDefault="00CA262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83" type="#_x0000_t75" style="width:88.5pt;height:16.5pt" o:ole="">
                  <v:imagedata r:id="rId95" o:title=""/>
                </v:shape>
                <w:control r:id="rId112" w:name="Zone de texte 35" w:shapeid="_x0000_i1383"/>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85" type="#_x0000_t75" style="width:88.5pt;height:16.5pt" o:ole="">
                  <v:imagedata r:id="rId95" o:title=""/>
                </v:shape>
                <w:control r:id="rId113" w:name="Zone de texte 36" w:shapeid="_x0000_i1385"/>
              </w:object>
            </w:r>
          </w:p>
        </w:tc>
      </w:tr>
      <w:tr w:rsidR="00542B6F">
        <w:tc>
          <w:tcPr>
            <w:tcW w:w="3914" w:type="dxa"/>
            <w:tcBorders>
              <w:left w:val="single" w:sz="2" w:space="0" w:color="000000"/>
              <w:bottom w:val="single" w:sz="2" w:space="0" w:color="000000"/>
            </w:tcBorders>
          </w:tcPr>
          <w:p w:rsidR="00542B6F" w:rsidRDefault="00CA2622">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87" type="#_x0000_t75" style="width:88.5pt;height:16.5pt" o:ole="">
                  <v:imagedata r:id="rId95" o:title=""/>
                </v:shape>
                <w:control r:id="rId114" w:name="unnamed77" w:shapeid="_x0000_i1387"/>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89" type="#_x0000_t75" style="width:88.5pt;height:16.5pt" o:ole="">
                  <v:imagedata r:id="rId95" o:title=""/>
                </v:shape>
                <w:control r:id="rId115" w:name="unnamed78" w:shapeid="_x0000_i1389"/>
              </w:object>
            </w:r>
          </w:p>
        </w:tc>
      </w:tr>
      <w:tr w:rsidR="00542B6F">
        <w:tc>
          <w:tcPr>
            <w:tcW w:w="3914" w:type="dxa"/>
            <w:tcBorders>
              <w:left w:val="single" w:sz="2" w:space="0" w:color="000000"/>
              <w:bottom w:val="single" w:sz="2" w:space="0" w:color="000000"/>
            </w:tcBorders>
          </w:tcPr>
          <w:p w:rsidR="00542B6F" w:rsidRDefault="00CA2622">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91" type="#_x0000_t75" style="width:88.5pt;height:16.5pt" o:ole="">
                  <v:imagedata r:id="rId95" o:title=""/>
                </v:shape>
                <w:control r:id="rId116" w:name="unnamed79" w:shapeid="_x0000_i1391"/>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93" type="#_x0000_t75" style="width:88.5pt;height:16.5pt" o:ole="">
                  <v:imagedata r:id="rId95" o:title=""/>
                </v:shape>
                <w:control r:id="rId117" w:name="unnamed710" w:shapeid="_x0000_i1393"/>
              </w:object>
            </w:r>
          </w:p>
        </w:tc>
      </w:tr>
      <w:tr w:rsidR="00542B6F">
        <w:tc>
          <w:tcPr>
            <w:tcW w:w="3914" w:type="dxa"/>
            <w:tcBorders>
              <w:left w:val="single" w:sz="2" w:space="0" w:color="000000"/>
              <w:bottom w:val="single" w:sz="2" w:space="0" w:color="000000"/>
            </w:tcBorders>
          </w:tcPr>
          <w:p w:rsidR="00542B6F" w:rsidRDefault="00CA2622">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95" type="#_x0000_t75" style="width:88.5pt;height:16.5pt" o:ole="">
                  <v:imagedata r:id="rId95" o:title=""/>
                </v:shape>
                <w:control r:id="rId118" w:name="unnamed711" w:shapeid="_x0000_i1395"/>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97" type="#_x0000_t75" style="width:88.5pt;height:16.5pt" o:ole="">
                  <v:imagedata r:id="rId95" o:title=""/>
                </v:shape>
                <w:control r:id="rId119" w:name="unnamed712" w:shapeid="_x0000_i1397"/>
              </w:object>
            </w:r>
          </w:p>
        </w:tc>
      </w:tr>
      <w:tr w:rsidR="00542B6F">
        <w:tc>
          <w:tcPr>
            <w:tcW w:w="3914" w:type="dxa"/>
            <w:tcBorders>
              <w:left w:val="single" w:sz="2" w:space="0" w:color="000000"/>
              <w:bottom w:val="single" w:sz="2" w:space="0" w:color="000000"/>
            </w:tcBorders>
          </w:tcPr>
          <w:p w:rsidR="00542B6F" w:rsidRDefault="00CA2622">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399" type="#_x0000_t75" style="width:88.5pt;height:16.5pt" o:ole="">
                  <v:imagedata r:id="rId95" o:title=""/>
                </v:shape>
                <w:control r:id="rId120" w:name="unnamed713" w:shapeid="_x0000_i1399"/>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01" type="#_x0000_t75" style="width:88.5pt;height:16.5pt" o:ole="">
                  <v:imagedata r:id="rId95" o:title=""/>
                </v:shape>
                <w:control r:id="rId121" w:name="unnamed714" w:shapeid="_x0000_i1401"/>
              </w:object>
            </w:r>
          </w:p>
        </w:tc>
      </w:tr>
      <w:tr w:rsidR="00542B6F">
        <w:tc>
          <w:tcPr>
            <w:tcW w:w="3914" w:type="dxa"/>
            <w:tcBorders>
              <w:left w:val="single" w:sz="2" w:space="0" w:color="000000"/>
              <w:bottom w:val="single" w:sz="2" w:space="0" w:color="000000"/>
            </w:tcBorders>
          </w:tcPr>
          <w:p w:rsidR="00542B6F" w:rsidRDefault="00CA2622">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03" type="#_x0000_t75" style="width:88.5pt;height:16.5pt" o:ole="">
                  <v:imagedata r:id="rId95" o:title=""/>
                </v:shape>
                <w:control r:id="rId122" w:name="unnamed715" w:shapeid="_x0000_i1403"/>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05" type="#_x0000_t75" style="width:88.5pt;height:16.5pt" o:ole="">
                  <v:imagedata r:id="rId95" o:title=""/>
                </v:shape>
                <w:control r:id="rId123" w:name="unnamed716" w:shapeid="_x0000_i1405"/>
              </w:object>
            </w:r>
          </w:p>
        </w:tc>
      </w:tr>
      <w:tr w:rsidR="00542B6F">
        <w:tc>
          <w:tcPr>
            <w:tcW w:w="3914" w:type="dxa"/>
            <w:tcBorders>
              <w:left w:val="single" w:sz="2" w:space="0" w:color="000000"/>
              <w:bottom w:val="single" w:sz="2" w:space="0" w:color="000000"/>
            </w:tcBorders>
          </w:tcPr>
          <w:p w:rsidR="00542B6F" w:rsidRDefault="00CA262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07" type="#_x0000_t75" style="width:88.5pt;height:16.5pt" o:ole="">
                  <v:imagedata r:id="rId95" o:title=""/>
                </v:shape>
                <w:control r:id="rId124" w:name="Zone de texte 37" w:shapeid="_x0000_i1407"/>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09" type="#_x0000_t75" style="width:88.5pt;height:16.5pt" o:ole="">
                  <v:imagedata r:id="rId95" o:title=""/>
                </v:shape>
                <w:control r:id="rId125" w:name="Zone de texte 38" w:shapeid="_x0000_i1409"/>
              </w:object>
            </w:r>
          </w:p>
        </w:tc>
      </w:tr>
      <w:tr w:rsidR="00542B6F">
        <w:tc>
          <w:tcPr>
            <w:tcW w:w="3914" w:type="dxa"/>
            <w:tcBorders>
              <w:left w:val="single" w:sz="2" w:space="0" w:color="000000"/>
              <w:bottom w:val="single" w:sz="2" w:space="0" w:color="000000"/>
            </w:tcBorders>
          </w:tcPr>
          <w:p w:rsidR="00542B6F" w:rsidRDefault="00CA262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11" type="#_x0000_t75" style="width:88.5pt;height:16.5pt" o:ole="">
                  <v:imagedata r:id="rId95" o:title=""/>
                </v:shape>
                <w:control r:id="rId126" w:name="unnamed717" w:shapeid="_x0000_i1411"/>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13" type="#_x0000_t75" style="width:88.5pt;height:16.5pt" o:ole="">
                  <v:imagedata r:id="rId95" o:title=""/>
                </v:shape>
                <w:control r:id="rId127" w:name="unnamed718" w:shapeid="_x0000_i1413"/>
              </w:object>
            </w:r>
          </w:p>
        </w:tc>
      </w:tr>
      <w:tr w:rsidR="00542B6F">
        <w:tc>
          <w:tcPr>
            <w:tcW w:w="3914" w:type="dxa"/>
            <w:tcBorders>
              <w:left w:val="single" w:sz="2" w:space="0" w:color="000000"/>
              <w:bottom w:val="single" w:sz="2" w:space="0" w:color="000000"/>
            </w:tcBorders>
          </w:tcPr>
          <w:p w:rsidR="00542B6F" w:rsidRDefault="00CA262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w:t>
            </w:r>
            <w:r>
              <w:rPr>
                <w:rFonts w:ascii="Calibri" w:eastAsia="DejaVuSans" w:hAnsi="Calibri" w:cs="DejaVuSans"/>
                <w:color w:val="000000"/>
                <w:sz w:val="16"/>
                <w:szCs w:val="16"/>
                <w:shd w:val="clear" w:color="auto" w:fill="FFFFFF"/>
              </w:rPr>
              <w:t>éligibles au titre des consommations de chaleur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15" type="#_x0000_t75" style="width:88.5pt;height:16.5pt" o:ole="">
                  <v:imagedata r:id="rId95" o:title=""/>
                </v:shape>
                <w:control r:id="rId128" w:name="unnamed719" w:shapeid="_x0000_i1415"/>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17" type="#_x0000_t75" style="width:88.5pt;height:16.5pt" o:ole="">
                  <v:imagedata r:id="rId95" o:title=""/>
                </v:shape>
                <w:control r:id="rId129" w:name="unnamed720" w:shapeid="_x0000_i1417"/>
              </w:object>
            </w:r>
          </w:p>
        </w:tc>
      </w:tr>
      <w:tr w:rsidR="00542B6F">
        <w:tc>
          <w:tcPr>
            <w:tcW w:w="3914" w:type="dxa"/>
            <w:tcBorders>
              <w:left w:val="single" w:sz="2" w:space="0" w:color="000000"/>
              <w:bottom w:val="single" w:sz="2" w:space="0" w:color="000000"/>
            </w:tcBorders>
          </w:tcPr>
          <w:p w:rsidR="00542B6F" w:rsidRDefault="00CA262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19" type="#_x0000_t75" style="width:88.5pt;height:16.5pt" o:ole="">
                  <v:imagedata r:id="rId95" o:title=""/>
                </v:shape>
                <w:control r:id="rId130" w:name="unnamed721" w:shapeid="_x0000_i1419"/>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21" type="#_x0000_t75" style="width:88.5pt;height:16.5pt" o:ole="">
                  <v:imagedata r:id="rId95" o:title=""/>
                </v:shape>
                <w:control r:id="rId131" w:name="unnamed722" w:shapeid="_x0000_i1421"/>
              </w:object>
            </w:r>
          </w:p>
        </w:tc>
      </w:tr>
      <w:tr w:rsidR="00542B6F">
        <w:tc>
          <w:tcPr>
            <w:tcW w:w="3914" w:type="dxa"/>
            <w:vMerge w:val="restart"/>
            <w:tcBorders>
              <w:left w:val="single" w:sz="2" w:space="0" w:color="000000"/>
              <w:bottom w:val="single" w:sz="2" w:space="0" w:color="000000"/>
            </w:tcBorders>
          </w:tcPr>
          <w:p w:rsidR="00542B6F" w:rsidRDefault="00CA2622">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23" type="#_x0000_t75" style="width:88.5pt;height:16.5pt" o:ole="">
                  <v:imagedata r:id="rId95" o:title=""/>
                </v:shape>
                <w:control r:id="rId132" w:name="Zone de texte 321" w:shapeid="_x0000_i1423"/>
              </w:object>
            </w:r>
          </w:p>
        </w:tc>
        <w:tc>
          <w:tcPr>
            <w:tcW w:w="3235" w:type="dxa"/>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25" type="#_x0000_t75" style="width:88.5pt;height:16.5pt" o:ole="">
                  <v:imagedata r:id="rId95" o:title=""/>
                </v:shape>
                <w:control r:id="rId133" w:name="Zone de texte 29" w:shapeid="_x0000_i1425"/>
              </w:object>
            </w:r>
            <w:r>
              <w:rPr>
                <w:rFonts w:ascii="Calibri" w:hAnsi="Calibri"/>
                <w:sz w:val="16"/>
                <w:szCs w:val="16"/>
              </w:rPr>
              <w:t> </w:t>
            </w:r>
          </w:p>
        </w:tc>
      </w:tr>
      <w:tr w:rsidR="00542B6F">
        <w:tc>
          <w:tcPr>
            <w:tcW w:w="3914" w:type="dxa"/>
            <w:vMerge/>
            <w:tcBorders>
              <w:left w:val="single" w:sz="2" w:space="0" w:color="000000"/>
              <w:bottom w:val="single" w:sz="2" w:space="0" w:color="000000"/>
            </w:tcBorders>
          </w:tcPr>
          <w:p w:rsidR="00542B6F" w:rsidRDefault="00542B6F"/>
        </w:tc>
        <w:tc>
          <w:tcPr>
            <w:tcW w:w="5728" w:type="dxa"/>
            <w:gridSpan w:val="2"/>
            <w:tcBorders>
              <w:left w:val="single" w:sz="2" w:space="0" w:color="000000"/>
              <w:bottom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27" type="#_x0000_t75" style="width:88.5pt;height:16.5pt" o:ole="">
                  <v:imagedata r:id="rId95" o:title=""/>
                </v:shape>
                <w:control r:id="rId134" w:name="Zone de texte 291" w:shapeid="_x0000_i1427"/>
              </w:object>
            </w:r>
            <w:r>
              <w:rPr>
                <w:rFonts w:ascii="Calibri" w:hAnsi="Calibri"/>
                <w:sz w:val="16"/>
                <w:szCs w:val="16"/>
              </w:rPr>
              <w:t> </w:t>
            </w:r>
          </w:p>
        </w:tc>
      </w:tr>
    </w:tbl>
    <w:p w:rsidR="00542B6F" w:rsidRDefault="00542B6F">
      <w:pPr>
        <w:autoSpaceDE w:val="0"/>
        <w:ind w:right="340"/>
        <w:jc w:val="both"/>
        <w:rPr>
          <w:rFonts w:ascii="Calibri" w:eastAsia="DejaVuSans" w:hAnsi="Calibri" w:cs="Marianne"/>
          <w:b/>
          <w:bCs/>
          <w:sz w:val="16"/>
          <w:szCs w:val="16"/>
        </w:rPr>
      </w:pPr>
    </w:p>
    <w:p w:rsidR="00542B6F" w:rsidRDefault="00CA2622">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rsidR="00542B6F" w:rsidRDefault="00542B6F">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542B6F">
        <w:tc>
          <w:tcPr>
            <w:tcW w:w="5790" w:type="dxa"/>
            <w:tcBorders>
              <w:top w:val="single" w:sz="2" w:space="0" w:color="000000"/>
              <w:left w:val="single" w:sz="2" w:space="0" w:color="000000"/>
            </w:tcBorders>
          </w:tcPr>
          <w:p w:rsidR="00542B6F" w:rsidRDefault="00CA2622">
            <w:pPr>
              <w:spacing w:before="6" w:after="6"/>
              <w:ind w:right="340"/>
              <w:rPr>
                <w:rFonts w:ascii="Calibri" w:hAnsi="Calibri"/>
                <w:sz w:val="16"/>
                <w:szCs w:val="16"/>
              </w:rPr>
            </w:pPr>
            <w:r>
              <w:rPr>
                <w:rFonts w:ascii="Calibri" w:eastAsia="DejaVuSans" w:hAnsi="Calibri" w:cs="Calibri"/>
                <w:sz w:val="16"/>
                <w:szCs w:val="16"/>
              </w:rPr>
              <w:t xml:space="preserve">Montant d’aide maximal </w:t>
            </w:r>
            <w:r>
              <w:rPr>
                <w:rFonts w:ascii="Calibri" w:eastAsia="DejaVuSans" w:hAnsi="Calibri" w:cs="Calibri"/>
                <w:sz w:val="16"/>
                <w:szCs w:val="16"/>
              </w:rPr>
              <w:t>demandé au titre de la présente demande (en euro</w:t>
            </w:r>
            <w:r>
              <w:rPr>
                <w:rFonts w:ascii="Calibri" w:eastAsia="DejaVuSans" w:hAnsi="Calibri" w:cs="Calibri"/>
                <w:sz w:val="16"/>
                <w:szCs w:val="16"/>
              </w:rPr>
              <w:t>s</w:t>
            </w:r>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rsidR="00542B6F" w:rsidRDefault="00CA2622">
            <w:pPr>
              <w:jc w:val="center"/>
              <w:rPr>
                <w:rFonts w:ascii="Calibri" w:hAnsi="Calibri"/>
                <w:sz w:val="16"/>
                <w:szCs w:val="16"/>
              </w:rPr>
            </w:pPr>
            <w:r>
              <w:rPr>
                <w:rFonts w:ascii="Calibri" w:hAnsi="Calibri"/>
                <w:sz w:val="16"/>
                <w:szCs w:val="16"/>
              </w:rPr>
              <w:object w:dxaOrig="225" w:dyaOrig="225">
                <v:shape id="_x0000_i1429" type="#_x0000_t75" style="width:88.5pt;height:16.5pt" o:ole="">
                  <v:imagedata r:id="rId95" o:title=""/>
                </v:shape>
                <w:control r:id="rId135" w:name="unnamed723" w:shapeid="_x0000_i1429"/>
              </w:object>
            </w:r>
          </w:p>
        </w:tc>
      </w:tr>
      <w:tr w:rsidR="00542B6F">
        <w:tc>
          <w:tcPr>
            <w:tcW w:w="5790" w:type="dxa"/>
            <w:tcBorders>
              <w:left w:val="single" w:sz="2" w:space="0" w:color="000000"/>
              <w:bottom w:val="single" w:sz="2" w:space="0" w:color="000000"/>
            </w:tcBorders>
          </w:tcPr>
          <w:p w:rsidR="00542B6F" w:rsidRDefault="00CA2622">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rsidR="00542B6F" w:rsidRDefault="00CA2622">
            <w:pPr>
              <w:ind w:left="708" w:right="340"/>
              <w:jc w:val="center"/>
              <w:rPr>
                <w:rFonts w:ascii="Calibri" w:hAnsi="Calibri"/>
                <w:sz w:val="16"/>
                <w:szCs w:val="16"/>
              </w:rPr>
            </w:pPr>
            <w:r>
              <w:rPr>
                <w:rFonts w:ascii="Calibri" w:hAnsi="Calibri"/>
                <w:sz w:val="16"/>
                <w:szCs w:val="16"/>
              </w:rPr>
              <w:object w:dxaOrig="225" w:dyaOrig="225">
                <v:shape id="_x0000_i1431" type="#_x0000_t75" style="width:16.5pt;height:22.5pt" o:ole="">
                  <v:imagedata r:id="rId18" o:title=""/>
                </v:shape>
                <w:control r:id="rId136" w:name="Case à cocher 167" w:shapeid="_x0000_i1431"/>
              </w:object>
            </w:r>
          </w:p>
        </w:tc>
      </w:tr>
    </w:tbl>
    <w:p w:rsidR="00542B6F" w:rsidRDefault="00542B6F">
      <w:pPr>
        <w:autoSpaceDE w:val="0"/>
        <w:ind w:right="340"/>
        <w:jc w:val="both"/>
        <w:rPr>
          <w:rFonts w:ascii="Calibri" w:eastAsia="DejaVuSans" w:hAnsi="Calibri" w:cs="Marianne"/>
          <w:b/>
          <w:bCs/>
          <w:sz w:val="16"/>
          <w:szCs w:val="16"/>
        </w:rPr>
      </w:pPr>
    </w:p>
    <w:p w:rsidR="00542B6F" w:rsidRDefault="00CA2622">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rsidR="00542B6F" w:rsidRDefault="00CA2622">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rsidR="00542B6F" w:rsidRDefault="00CA2622">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rsidR="00542B6F" w:rsidRDefault="00CA2622">
      <w:pPr>
        <w:spacing w:before="6" w:after="6"/>
        <w:jc w:val="both"/>
        <w:rPr>
          <w:rFonts w:ascii="Calibri" w:hAnsi="Calibri"/>
          <w:sz w:val="16"/>
          <w:szCs w:val="16"/>
        </w:rPr>
      </w:pPr>
      <w:r>
        <w:rPr>
          <w:rFonts w:ascii="Calibri" w:eastAsia="DejaVuSans" w:hAnsi="Calibri" w:cs="Marianne"/>
          <w:color w:val="000000"/>
          <w:sz w:val="16"/>
          <w:szCs w:val="16"/>
        </w:rPr>
        <w:t>- le</w:t>
      </w:r>
      <w:r>
        <w:rPr>
          <w:rFonts w:ascii="Calibri" w:eastAsia="DejaVuSans" w:hAnsi="Calibri" w:cs="Marianne"/>
          <w:color w:val="000000"/>
          <w:sz w:val="16"/>
          <w:szCs w:val="16"/>
        </w:rPr>
        <w:t xml:space="preserve"> fichier de calcul de l’EBE gaz et électricité,</w:t>
      </w:r>
    </w:p>
    <w:p w:rsidR="00542B6F" w:rsidRDefault="00CA2622">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r>
        <w:rPr>
          <w:rFonts w:ascii="Calibri" w:eastAsia="DejaVuSans" w:hAnsi="Calibri" w:cs="Marianne"/>
          <w:color w:val="000000"/>
          <w:sz w:val="16"/>
          <w:szCs w:val="16"/>
        </w:rPr>
        <w:t>juillet et août</w:t>
      </w:r>
      <w:r>
        <w:rPr>
          <w:rFonts w:ascii="Calibri" w:eastAsia="DejaVuSans" w:hAnsi="Calibri" w:cs="Marianne"/>
          <w:color w:val="000000"/>
          <w:sz w:val="16"/>
          <w:szCs w:val="16"/>
        </w:rPr>
        <w:t xml:space="preserve"> 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r>
        <w:rPr>
          <w:rFonts w:ascii="Calibri" w:eastAsia="DejaVuSans" w:hAnsi="Calibri" w:cs="Marianne"/>
          <w:color w:val="000000"/>
          <w:sz w:val="16"/>
          <w:szCs w:val="16"/>
        </w:rPr>
        <w:t xml:space="preserve">juillet et août </w:t>
      </w:r>
      <w:r>
        <w:rPr>
          <w:rFonts w:ascii="Calibri" w:eastAsia="DejaVuSans" w:hAnsi="Calibri" w:cs="Marianne"/>
          <w:color w:val="000000"/>
          <w:sz w:val="16"/>
          <w:szCs w:val="16"/>
        </w:rPr>
        <w:t>2023,</w:t>
      </w:r>
    </w:p>
    <w:p w:rsidR="00542B6F" w:rsidRPr="00CA2622" w:rsidRDefault="00CA2622">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ou les factures d</w:t>
      </w:r>
      <w:r>
        <w:rPr>
          <w:rFonts w:ascii="Calibri" w:eastAsia="DejaVuSans" w:hAnsi="Calibri" w:cs="Marianne"/>
          <w:color w:val="000000"/>
          <w:sz w:val="16"/>
          <w:szCs w:val="16"/>
        </w:rPr>
        <w:t xml:space="preserve">’énergie portant sur la période </w:t>
      </w:r>
      <w:r>
        <w:rPr>
          <w:rFonts w:ascii="Calibri" w:eastAsia="DejaVuSans" w:hAnsi="Calibri" w:cs="Marianne"/>
          <w:color w:val="000000"/>
          <w:sz w:val="16"/>
          <w:szCs w:val="16"/>
        </w:rPr>
        <w:t xml:space="preserve">juillet et août </w:t>
      </w:r>
      <w:r>
        <w:rPr>
          <w:rFonts w:ascii="Calibri" w:eastAsia="DejaVuSans" w:hAnsi="Calibri" w:cs="Marianne"/>
          <w:color w:val="000000"/>
          <w:sz w:val="16"/>
          <w:szCs w:val="16"/>
        </w:rPr>
        <w:t>2023 utilisées par l’entreprise pour le calcul de l’aide</w:t>
      </w:r>
    </w:p>
    <w:p w:rsidR="00542B6F" w:rsidRDefault="00CA2622">
      <w:pPr>
        <w:spacing w:before="6" w:after="6"/>
        <w:jc w:val="both"/>
      </w:pPr>
      <w:r>
        <w:rPr>
          <w:rFonts w:ascii="Calibri" w:eastAsia="DejaVuSans" w:hAnsi="Calibri" w:cs="Marianne"/>
          <w:color w:val="000000"/>
          <w:sz w:val="16"/>
          <w:szCs w:val="16"/>
        </w:rPr>
        <w:t>- la ou les factures d’énergie portant sur la période de référence</w:t>
      </w:r>
    </w:p>
    <w:p w:rsidR="00542B6F" w:rsidRDefault="00CA2622">
      <w:pPr>
        <w:spacing w:before="6" w:after="6"/>
        <w:jc w:val="both"/>
      </w:pPr>
      <w:r>
        <w:rPr>
          <w:rFonts w:ascii="Calibri" w:eastAsia="DejaVuSans" w:hAnsi="Calibri" w:cs="Marianne"/>
          <w:color w:val="000000"/>
          <w:sz w:val="16"/>
          <w:szCs w:val="16"/>
        </w:rPr>
        <w:t xml:space="preserve">- une liste récapitulant les factures correspondantes, dûment </w:t>
      </w:r>
      <w:r>
        <w:rPr>
          <w:rFonts w:ascii="Calibri" w:eastAsia="DejaVuSans" w:hAnsi="Calibri" w:cs="Marianne"/>
          <w:color w:val="000000"/>
          <w:sz w:val="16"/>
          <w:szCs w:val="16"/>
        </w:rPr>
        <w:t>référencées et les données utilisées dans ces factures, en particulier le prix unitaire moyen payé par l’entreprise pour chaque énergie pendant la période de référence et pendant chaque mois de la période éligible bimensuelle, et le volume consommé pour ch</w:t>
      </w:r>
      <w:r>
        <w:rPr>
          <w:rFonts w:ascii="Calibri" w:eastAsia="DejaVuSans" w:hAnsi="Calibri" w:cs="Marianne"/>
          <w:color w:val="000000"/>
          <w:sz w:val="16"/>
          <w:szCs w:val="16"/>
        </w:rPr>
        <w:t>aque énergie pendant la période de référence et pendant la période éligible bimensuelle considérée,</w:t>
      </w:r>
    </w:p>
    <w:p w:rsidR="00542B6F" w:rsidRDefault="00CA2622">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son activité principale dans un ou plu</w:t>
      </w:r>
      <w:r>
        <w:rPr>
          <w:rFonts w:ascii="Calibri" w:eastAsia="DejaVuSans" w:hAnsi="Calibri" w:cs="Marianne"/>
          <w:iCs/>
          <w:color w:val="000000"/>
          <w:sz w:val="16"/>
          <w:szCs w:val="16"/>
        </w:rPr>
        <w:t xml:space="preserve">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r>
        <w:rPr>
          <w:rFonts w:ascii="Calibri" w:eastAsia="DejaVuSans" w:hAnsi="Calibri" w:cs="Marianne"/>
          <w:iCs/>
          <w:color w:val="000000"/>
          <w:sz w:val="16"/>
          <w:szCs w:val="16"/>
        </w:rPr>
        <w:t>.</w:t>
      </w:r>
    </w:p>
    <w:p w:rsidR="00542B6F" w:rsidRDefault="00542B6F">
      <w:pPr>
        <w:spacing w:before="6" w:after="6"/>
        <w:jc w:val="both"/>
        <w:rPr>
          <w:rFonts w:ascii="Calibri" w:eastAsia="DejaVuSans" w:hAnsi="Calibri" w:cs="Marianne"/>
          <w:color w:val="000000"/>
          <w:sz w:val="16"/>
          <w:szCs w:val="16"/>
        </w:rPr>
      </w:pPr>
    </w:p>
    <w:p w:rsidR="00542B6F" w:rsidRDefault="00CA2622">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v:shape id="_x0000_i1433" type="#_x0000_t75" style="width:161.25pt;height:16.5pt" o:ole="">
            <v:imagedata r:id="rId137" o:title=""/>
          </v:shape>
          <w:control r:id="rId138" w:name="unnamed8" w:shapeid="_x0000_i1433"/>
        </w:object>
      </w:r>
    </w:p>
    <w:p w:rsidR="00542B6F" w:rsidRDefault="00542B6F">
      <w:pPr>
        <w:tabs>
          <w:tab w:val="left" w:pos="6240"/>
        </w:tabs>
        <w:rPr>
          <w:rFonts w:ascii="Calibri" w:hAnsi="Calibri"/>
          <w:sz w:val="16"/>
          <w:szCs w:val="16"/>
        </w:rPr>
      </w:pPr>
    </w:p>
    <w:p w:rsidR="00542B6F" w:rsidRDefault="00CA2622">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v:shape id="_x0000_i1435" type="#_x0000_t75" style="width:88.5pt;height:16.5pt" o:ole="">
            <v:imagedata r:id="rId95" o:title=""/>
          </v:shape>
          <w:control r:id="rId139" w:name="unnamed9" w:shapeid="_x0000_i1435"/>
        </w:object>
      </w:r>
    </w:p>
    <w:p w:rsidR="00542B6F" w:rsidRDefault="00CA2622">
      <w:pPr>
        <w:tabs>
          <w:tab w:val="left" w:pos="6240"/>
        </w:tabs>
        <w:rPr>
          <w:rFonts w:ascii="Calibri" w:hAnsi="Calibri"/>
          <w:sz w:val="16"/>
          <w:szCs w:val="16"/>
        </w:rPr>
      </w:pPr>
      <w:r>
        <w:rPr>
          <w:rFonts w:ascii="Calibri" w:hAnsi="Calibri"/>
          <w:sz w:val="16"/>
          <w:szCs w:val="16"/>
        </w:rPr>
        <w:tab/>
        <w:t xml:space="preserve">Nom et SIREN du cabinet d’expertise comptable </w:t>
      </w:r>
    </w:p>
    <w:p w:rsidR="00542B6F" w:rsidRDefault="00CA2622">
      <w:pPr>
        <w:jc w:val="right"/>
        <w:rPr>
          <w:rFonts w:ascii="Calibri" w:hAnsi="Calibri"/>
          <w:sz w:val="16"/>
          <w:szCs w:val="16"/>
        </w:rPr>
      </w:pPr>
      <w:r>
        <w:rPr>
          <w:rFonts w:ascii="Calibri" w:hAnsi="Calibri"/>
          <w:sz w:val="16"/>
          <w:szCs w:val="16"/>
        </w:rPr>
        <w:object w:dxaOrig="225" w:dyaOrig="225">
          <v:shape id="_x0000_i1437" type="#_x0000_t75" style="width:300pt;height:16.5pt" o:ole="">
            <v:imagedata r:id="rId140" o:title=""/>
          </v:shape>
          <w:control r:id="rId141" w:name="unnamed10" w:shapeid="_x0000_i1437"/>
        </w:object>
      </w:r>
    </w:p>
    <w:p w:rsidR="00542B6F" w:rsidRDefault="00542B6F">
      <w:pPr>
        <w:jc w:val="right"/>
        <w:rPr>
          <w:rFonts w:ascii="Calibri" w:hAnsi="Calibri"/>
          <w:sz w:val="16"/>
          <w:szCs w:val="16"/>
        </w:rPr>
      </w:pPr>
    </w:p>
    <w:p w:rsidR="00542B6F" w:rsidRDefault="00542B6F">
      <w:pPr>
        <w:jc w:val="right"/>
        <w:rPr>
          <w:rFonts w:ascii="Calibri" w:hAnsi="Calibri"/>
          <w:sz w:val="16"/>
          <w:szCs w:val="16"/>
        </w:rPr>
      </w:pPr>
    </w:p>
    <w:p w:rsidR="00542B6F" w:rsidRDefault="00CA2622">
      <w:pPr>
        <w:jc w:val="right"/>
        <w:rPr>
          <w:rFonts w:ascii="Calibri" w:hAnsi="Calibri"/>
          <w:sz w:val="16"/>
          <w:szCs w:val="16"/>
        </w:rPr>
      </w:pPr>
      <w:r>
        <w:rPr>
          <w:rFonts w:ascii="Calibri" w:hAnsi="Calibri"/>
          <w:sz w:val="16"/>
          <w:szCs w:val="16"/>
        </w:rPr>
        <w:t>Nom et Numéro professionnel SUPRA de l’expert-comptable</w:t>
      </w:r>
    </w:p>
    <w:p w:rsidR="00542B6F" w:rsidRDefault="00CA2622">
      <w:pPr>
        <w:jc w:val="right"/>
        <w:rPr>
          <w:rFonts w:ascii="Calibri" w:hAnsi="Calibri"/>
          <w:sz w:val="16"/>
          <w:szCs w:val="16"/>
        </w:rPr>
      </w:pPr>
      <w:r>
        <w:rPr>
          <w:rFonts w:ascii="Calibri" w:hAnsi="Calibri"/>
          <w:sz w:val="16"/>
          <w:szCs w:val="16"/>
        </w:rPr>
        <w:object w:dxaOrig="225" w:dyaOrig="225">
          <v:shape id="_x0000_i1439" type="#_x0000_t75" style="width:300pt;height:16.5pt" o:ole="">
            <v:imagedata r:id="rId140" o:title=""/>
          </v:shape>
          <w:control r:id="rId142" w:name="unnamed101" w:shapeid="_x0000_i1439"/>
        </w:object>
      </w:r>
    </w:p>
    <w:p w:rsidR="00542B6F" w:rsidRDefault="00542B6F">
      <w:pPr>
        <w:jc w:val="right"/>
        <w:rPr>
          <w:rFonts w:ascii="Calibri" w:hAnsi="Calibri"/>
          <w:sz w:val="16"/>
          <w:szCs w:val="16"/>
        </w:rPr>
      </w:pPr>
    </w:p>
    <w:p w:rsidR="00542B6F" w:rsidRDefault="00CA2622">
      <w:pPr>
        <w:tabs>
          <w:tab w:val="left" w:pos="6240"/>
        </w:tabs>
        <w:jc w:val="right"/>
        <w:rPr>
          <w:rFonts w:ascii="Calibri" w:hAnsi="Calibri"/>
          <w:sz w:val="16"/>
          <w:szCs w:val="16"/>
        </w:rPr>
      </w:pPr>
      <w:r>
        <w:rPr>
          <w:rFonts w:ascii="Calibri" w:hAnsi="Calibri"/>
          <w:sz w:val="16"/>
          <w:szCs w:val="16"/>
        </w:rPr>
        <w:t>Cachet et signature de l’expert</w:t>
      </w:r>
      <w:r>
        <w:rPr>
          <w:rFonts w:ascii="Calibri" w:hAnsi="Calibri"/>
          <w:sz w:val="16"/>
          <w:szCs w:val="16"/>
        </w:rPr>
        <w:t xml:space="preserve"> comptable </w:t>
      </w:r>
    </w:p>
    <w:sectPr w:rsidR="00542B6F">
      <w:headerReference w:type="default" r:id="rId143"/>
      <w:footerReference w:type="default" r:id="rId144"/>
      <w:headerReference w:type="first" r:id="rId145"/>
      <w:footerReference w:type="first" r:id="rId146"/>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6F" w:rsidRDefault="00CA2622">
      <w:r>
        <w:separator/>
      </w:r>
    </w:p>
  </w:endnote>
  <w:endnote w:type="continuationSeparator" w:id="0">
    <w:p w:rsidR="00542B6F" w:rsidRDefault="00CA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6F" w:rsidRDefault="00CA2622">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7</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6F" w:rsidRDefault="00542B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6F" w:rsidRDefault="00CA2622">
      <w:pPr>
        <w:rPr>
          <w:sz w:val="12"/>
        </w:rPr>
      </w:pPr>
      <w:r>
        <w:separator/>
      </w:r>
    </w:p>
  </w:footnote>
  <w:footnote w:type="continuationSeparator" w:id="0">
    <w:p w:rsidR="00542B6F" w:rsidRDefault="00CA2622">
      <w:pPr>
        <w:rPr>
          <w:sz w:val="12"/>
        </w:rPr>
      </w:pPr>
      <w:r>
        <w:continuationSeparator/>
      </w:r>
    </w:p>
  </w:footnote>
  <w:footnote w:id="1">
    <w:p w:rsidR="00542B6F" w:rsidRDefault="00CA2622">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rsidR="00542B6F" w:rsidRDefault="00CA2622">
      <w:pPr>
        <w:pStyle w:val="Notedebasdepage"/>
        <w:rPr>
          <w:rFonts w:ascii="Calibri" w:hAnsi="Calibri"/>
          <w:sz w:val="16"/>
          <w:szCs w:val="16"/>
        </w:rPr>
      </w:pPr>
      <w:r>
        <w:rPr>
          <w:rStyle w:val="Caractresdenotedebasdepage"/>
        </w:rPr>
        <w:footnoteRef/>
      </w:r>
      <w:r>
        <w:rPr>
          <w:rFonts w:ascii="Calibri" w:hAnsi="Calibri"/>
          <w:sz w:val="16"/>
          <w:szCs w:val="16"/>
        </w:rPr>
        <w:tab/>
        <w:t xml:space="preserve">La période éligible mensuelle a le sens qui </w:t>
      </w:r>
      <w:r>
        <w:rPr>
          <w:rFonts w:ascii="Calibri" w:hAnsi="Calibri"/>
          <w:sz w:val="16"/>
          <w:szCs w:val="16"/>
        </w:rPr>
        <w:t>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rsidR="00542B6F" w:rsidRDefault="00CA2622">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rsidR="00542B6F" w:rsidRDefault="00CA2622">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décret </w:t>
      </w:r>
      <w:r>
        <w:rPr>
          <w:rFonts w:ascii="Calibri" w:eastAsia="Times New Roman" w:hAnsi="Calibri" w:cs="Marianne"/>
          <w:bCs/>
          <w:iCs/>
          <w:color w:val="000000"/>
          <w:sz w:val="16"/>
          <w:szCs w:val="16"/>
        </w:rPr>
        <w:t>n° 2022-967 du 1</w:t>
      </w:r>
      <w:r>
        <w:rPr>
          <w:rFonts w:ascii="Calibri" w:eastAsia="Times New Roman" w:hAnsi="Calibri" w:cs="Marianne"/>
          <w:bCs/>
          <w:iCs/>
          <w:color w:val="000000"/>
          <w:sz w:val="16"/>
          <w:szCs w:val="16"/>
          <w:vertAlign w:val="superscript"/>
        </w:rPr>
        <w:t>er</w:t>
      </w:r>
      <w:r>
        <w:rPr>
          <w:rFonts w:ascii="Calibri" w:eastAsia="Times New Roman" w:hAnsi="Calibri" w:cs="Marianne"/>
          <w:bCs/>
          <w:iCs/>
          <w:color w:val="000000"/>
          <w:sz w:val="16"/>
          <w:szCs w:val="16"/>
        </w:rPr>
        <w:t xml:space="preserve"> juillet 2022, l’aide est limitée de manière à ce que l’EBE de la période éligible additionné du montant d’aide ne dépasse pas 70 % du montant de l’EBE de la période de référence de 2021 </w:t>
      </w:r>
      <w:r>
        <w:rPr>
          <w:rFonts w:ascii="Calibri" w:eastAsia="Times New Roman" w:hAnsi="Calibri" w:cs="Marianne"/>
          <w:bCs/>
          <w:i/>
          <w:iCs/>
          <w:color w:val="000000"/>
          <w:sz w:val="16"/>
          <w:szCs w:val="16"/>
        </w:rPr>
        <w:t>(ou des mois de 2021 correspondant à la période éligible)</w:t>
      </w:r>
      <w:r>
        <w:rPr>
          <w:rFonts w:ascii="Calibri" w:eastAsia="Times New Roman" w:hAnsi="Calibri" w:cs="Marianne"/>
          <w:bCs/>
          <w:iCs/>
          <w:color w:val="000000"/>
          <w:sz w:val="16"/>
          <w:szCs w:val="16"/>
        </w:rPr>
        <w:t xml:space="preserve">, ramené au </w:t>
      </w:r>
      <w:r>
        <w:rPr>
          <w:rFonts w:ascii="Calibri" w:eastAsia="Times New Roman" w:hAnsi="Calibri" w:cs="Marianne"/>
          <w:bCs/>
          <w:iCs/>
          <w:color w:val="000000"/>
          <w:sz w:val="16"/>
          <w:szCs w:val="16"/>
        </w:rPr>
        <w:t>nombre de mois de la période éligible, si cet EBE est positif.</w:t>
      </w:r>
    </w:p>
    <w:p w:rsidR="00542B6F" w:rsidRDefault="00CA2622" w:rsidP="00CA2622">
      <w:pPr>
        <w:pStyle w:val="Notedebasdepage"/>
        <w:jc w:val="both"/>
        <w:rPr>
          <w:rFonts w:ascii="Calibri" w:hAnsi="Calibri"/>
          <w:b/>
          <w:bCs/>
          <w:sz w:val="16"/>
          <w:szCs w:val="16"/>
        </w:rPr>
      </w:pPr>
      <w:r>
        <w:rPr>
          <w:rFonts w:ascii="Calibri" w:eastAsia="Times New Roman" w:hAnsi="Calibri" w:cs="Marianne"/>
          <w:bCs/>
          <w:iCs/>
          <w:color w:val="000000"/>
          <w:sz w:val="16"/>
          <w:szCs w:val="16"/>
        </w:rPr>
        <w:tab/>
        <w:t>A compter des dépenses de janvier 2023, pour les entreprises présentant des pertes opérationnelles (EBE négatif sur la période éligible), le plafonnement de l’aide diffère selon que l’entrepri</w:t>
      </w:r>
      <w:r>
        <w:rPr>
          <w:rFonts w:ascii="Calibri" w:eastAsia="Times New Roman" w:hAnsi="Calibri" w:cs="Marianne"/>
          <w:bCs/>
          <w:iCs/>
          <w:color w:val="000000"/>
          <w:sz w:val="16"/>
          <w:szCs w:val="16"/>
        </w:rPr>
        <w:t xml:space="preserve">se avait au cours de la période de référence 2021 </w:t>
      </w:r>
      <w:r>
        <w:rPr>
          <w:rFonts w:ascii="Calibri" w:eastAsia="Times New Roman" w:hAnsi="Calibri" w:cs="Marianne"/>
          <w:bCs/>
          <w:i/>
          <w:iCs/>
          <w:color w:val="000000"/>
          <w:sz w:val="16"/>
          <w:szCs w:val="16"/>
        </w:rPr>
        <w:t>(ou de la période de 2021 correspondant aux mois de la période éligible)</w:t>
      </w:r>
      <w:r>
        <w:rPr>
          <w:rFonts w:ascii="Calibri" w:eastAsia="Times New Roman" w:hAnsi="Calibri" w:cs="Marianne"/>
          <w:bCs/>
          <w:iCs/>
          <w:color w:val="000000"/>
          <w:sz w:val="16"/>
          <w:szCs w:val="16"/>
        </w:rPr>
        <w:t xml:space="preserve"> un EBE positif ou négatif. En cas d’un EBE négatif au cours de la période de référence : le montant de l’aide additionné à l’EBE rest</w:t>
      </w:r>
      <w:r>
        <w:rPr>
          <w:rFonts w:ascii="Calibri" w:eastAsia="Times New Roman" w:hAnsi="Calibri" w:cs="Marianne"/>
          <w:bCs/>
          <w:iCs/>
          <w:color w:val="000000"/>
          <w:sz w:val="16"/>
          <w:szCs w:val="16"/>
        </w:rPr>
        <w:t xml:space="preserve">e limité à zéro. En cas d’EBE positif au cours de la période de référence : le montant de l’aide additionné à l’EBE de la période éligible est plafonné à 70% du montant de l’EBE de 2021 </w:t>
      </w:r>
      <w:r>
        <w:rPr>
          <w:rFonts w:ascii="Calibri" w:eastAsia="Times New Roman" w:hAnsi="Calibri" w:cs="Marianne"/>
          <w:bCs/>
          <w:i/>
          <w:iCs/>
          <w:color w:val="000000"/>
          <w:sz w:val="16"/>
          <w:szCs w:val="16"/>
        </w:rPr>
        <w:t>(ou du montant de l’EBE de la période de 2021 correspondant aux mois d</w:t>
      </w:r>
      <w:r>
        <w:rPr>
          <w:rFonts w:ascii="Calibri" w:eastAsia="Times New Roman" w:hAnsi="Calibri" w:cs="Marianne"/>
          <w:bCs/>
          <w:i/>
          <w:iCs/>
          <w:color w:val="000000"/>
          <w:sz w:val="16"/>
          <w:szCs w:val="16"/>
        </w:rPr>
        <w:t>e la période éligible)</w:t>
      </w:r>
      <w:r>
        <w:rPr>
          <w:rFonts w:ascii="Calibri" w:eastAsia="Times New Roman" w:hAnsi="Calibri" w:cs="Marianne"/>
          <w:bCs/>
          <w:iCs/>
          <w:color w:val="000000"/>
          <w:sz w:val="16"/>
          <w:szCs w:val="16"/>
        </w:rPr>
        <w:t>, ramené au nombre de mois de la période éligible.</w:t>
      </w:r>
    </w:p>
  </w:footnote>
  <w:footnote w:id="5">
    <w:p w:rsidR="00542B6F" w:rsidRDefault="00CA2622">
      <w:pPr>
        <w:pStyle w:val="Notedebasdepage"/>
        <w:jc w:val="both"/>
      </w:pPr>
      <w:r>
        <w:rPr>
          <w:rStyle w:val="Caractresdenotedebasdepage"/>
        </w:rPr>
        <w:footnoteRef/>
      </w:r>
      <w:r>
        <w:rPr>
          <w:rFonts w:ascii="Calibri" w:hAnsi="Calibri"/>
          <w:sz w:val="16"/>
          <w:szCs w:val="16"/>
        </w:rPr>
        <w:tab/>
        <w:t>Document à fournir en cas de demande de l’aide  sur le fondement d’une baisse de l’EBE gaz et électricité de la période bimensuelle éligible 2023 par rapport à l’EBE gaz et électri</w:t>
      </w:r>
      <w:r>
        <w:rPr>
          <w:rFonts w:ascii="Calibri" w:hAnsi="Calibri"/>
          <w:sz w:val="16"/>
          <w:szCs w:val="16"/>
        </w:rPr>
        <w:t xml:space="preserve">cité calculé sur la même période bimensuelle de la période de référence. Ainsi, si une entreprise dépose une demande pour la période </w:t>
      </w:r>
      <w:r>
        <w:rPr>
          <w:rFonts w:ascii="Calibri" w:eastAsia="DejaVuSans" w:hAnsi="Calibri" w:cs="Marianne"/>
          <w:color w:val="000000"/>
          <w:sz w:val="16"/>
          <w:szCs w:val="16"/>
        </w:rPr>
        <w:t xml:space="preserve">juillet et août </w:t>
      </w:r>
      <w:r>
        <w:rPr>
          <w:rFonts w:ascii="Calibri" w:hAnsi="Calibri"/>
          <w:sz w:val="16"/>
          <w:szCs w:val="16"/>
        </w:rPr>
        <w:t xml:space="preserve">2023 car, sur cette période, son EBE gaz et électricité a diminué par rapport à l’EBE gaz et électricité </w:t>
      </w:r>
      <w:r>
        <w:rPr>
          <w:rFonts w:ascii="Calibri" w:eastAsia="DejaVuSans" w:hAnsi="Calibri" w:cs="Marianne"/>
          <w:color w:val="000000"/>
          <w:sz w:val="16"/>
          <w:szCs w:val="16"/>
        </w:rPr>
        <w:t xml:space="preserve">juillet et </w:t>
      </w:r>
      <w:proofErr w:type="gramStart"/>
      <w:r>
        <w:rPr>
          <w:rFonts w:ascii="Calibri" w:eastAsia="DejaVuSans" w:hAnsi="Calibri" w:cs="Marianne"/>
          <w:color w:val="000000"/>
          <w:sz w:val="16"/>
          <w:szCs w:val="16"/>
        </w:rPr>
        <w:t xml:space="preserve">août </w:t>
      </w:r>
      <w:r>
        <w:rPr>
          <w:rFonts w:ascii="Calibri" w:eastAsia="DejaVuSans" w:hAnsi="Calibri" w:cs="Marianne"/>
          <w:color w:val="000000"/>
          <w:sz w:val="16"/>
          <w:szCs w:val="16"/>
        </w:rPr>
        <w:t xml:space="preserve"> </w:t>
      </w:r>
      <w:r>
        <w:rPr>
          <w:rFonts w:ascii="Calibri" w:hAnsi="Calibri"/>
          <w:sz w:val="16"/>
          <w:szCs w:val="16"/>
        </w:rPr>
        <w:t>2021</w:t>
      </w:r>
      <w:proofErr w:type="gramEnd"/>
      <w:r>
        <w:rPr>
          <w:rFonts w:ascii="Calibri" w:hAnsi="Calibri"/>
          <w:sz w:val="16"/>
          <w:szCs w:val="16"/>
        </w:rPr>
        <w:t xml:space="preserve">, celle-ci devra également fournir la balance de la période </w:t>
      </w:r>
      <w:r>
        <w:rPr>
          <w:rFonts w:ascii="Calibri" w:eastAsia="DejaVuSans" w:hAnsi="Calibri" w:cs="Marianne"/>
          <w:color w:val="000000"/>
          <w:sz w:val="16"/>
          <w:szCs w:val="16"/>
        </w:rPr>
        <w:t xml:space="preserve">juillet et août </w:t>
      </w:r>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6F" w:rsidRDefault="00542B6F">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6F" w:rsidRDefault="00CA2622">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F"/>
    <w:rsid w:val="00542B6F"/>
    <w:rsid w:val="00CA2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5:docId w15:val="{0245CC10-DAB0-49FB-A6D7-93680CBB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control" Target="activeX/activeX126.xml"/><Relationship Id="rId16" Type="http://schemas.openxmlformats.org/officeDocument/2006/relationships/control" Target="activeX/activeX9.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image" Target="media/image6.wmf"/><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image" Target="media/image7.wmf"/><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5.xml"/><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image" Target="media/image8.wmf"/><Relationship Id="rId145"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header" Target="header1.xml"/><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28.xml"/><Relationship Id="rId146" Type="http://schemas.openxmlformats.org/officeDocument/2006/relationships/footer" Target="footer2.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29.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1981</Words>
  <Characters>10900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Pauline Lethier</cp:lastModifiedBy>
  <cp:revision>10</cp:revision>
  <dcterms:created xsi:type="dcterms:W3CDTF">2023-05-14T17:20:00Z</dcterms:created>
  <dcterms:modified xsi:type="dcterms:W3CDTF">2023-09-15T07:47:00Z</dcterms:modified>
  <dc:language>fr-FR</dc:language>
</cp:coreProperties>
</file>